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b/>
          <w:lang w:val="en-US" w:eastAsia="zh-CN"/>
        </w:rPr>
      </w:pPr>
      <w:r>
        <w:rPr>
          <w:b/>
        </w:rPr>
        <w:t>3GPP TSG RAN WG1 #</w:t>
      </w:r>
      <w:r>
        <w:rPr>
          <w:rFonts w:hint="eastAsia"/>
          <w:b/>
          <w:lang w:val="en-US" w:eastAsia="zh-CN"/>
        </w:rPr>
        <w:t>106b</w:t>
      </w:r>
      <w:r>
        <w:rPr>
          <w:b/>
        </w:rPr>
        <w:t>-e</w:t>
      </w:r>
      <w:r>
        <w:rPr>
          <w:b/>
        </w:rPr>
        <w:tab/>
      </w:r>
      <w:r>
        <w:rPr>
          <w:b/>
        </w:rPr>
        <w:tab/>
      </w:r>
      <w:r>
        <w:rPr>
          <w:b/>
        </w:rPr>
        <w:tab/>
      </w:r>
      <w:r>
        <w:rPr>
          <w:b/>
        </w:rPr>
        <w:t xml:space="preserve">                                  R1-21</w:t>
      </w:r>
      <w:r>
        <w:rPr>
          <w:rFonts w:hint="eastAsia"/>
          <w:b/>
          <w:lang w:val="en-US" w:eastAsia="zh-CN"/>
        </w:rPr>
        <w:t>09298</w:t>
      </w:r>
    </w:p>
    <w:p>
      <w:pPr>
        <w:tabs>
          <w:tab w:val="left" w:pos="1985"/>
        </w:tabs>
        <w:spacing w:after="0"/>
        <w:ind w:left="1700" w:hanging="1701" w:hangingChars="850"/>
        <w:rPr>
          <w:b/>
        </w:rPr>
      </w:pPr>
      <w:r>
        <w:rPr>
          <w:b/>
        </w:rPr>
        <w:t xml:space="preserve">e-Meeting, </w:t>
      </w:r>
      <w:r>
        <w:rPr>
          <w:rFonts w:hint="eastAsia"/>
          <w:b/>
          <w:lang w:val="en-US" w:eastAsia="zh-CN"/>
        </w:rPr>
        <w:t>October</w:t>
      </w:r>
      <w:r>
        <w:rPr>
          <w:b/>
          <w:lang w:eastAsia="ja-JP"/>
        </w:rPr>
        <w:t xml:space="preserve"> 1</w:t>
      </w:r>
      <w:r>
        <w:rPr>
          <w:rFonts w:hint="eastAsia"/>
          <w:b/>
          <w:lang w:val="en-US" w:eastAsia="zh-CN"/>
        </w:rPr>
        <w:t>1</w:t>
      </w:r>
      <w:r>
        <w:rPr>
          <w:b/>
          <w:lang w:eastAsia="ja-JP"/>
        </w:rPr>
        <w:t xml:space="preserve">th – </w:t>
      </w:r>
      <w:r>
        <w:rPr>
          <w:rFonts w:hint="eastAsia"/>
          <w:b/>
          <w:lang w:val="en-US" w:eastAsia="zh-CN"/>
        </w:rPr>
        <w:t>19</w:t>
      </w:r>
      <w:r>
        <w:rPr>
          <w:b/>
          <w:lang w:eastAsia="ja-JP"/>
        </w:rPr>
        <w:t>th</w:t>
      </w:r>
      <w:r>
        <w:rPr>
          <w:b/>
        </w:rPr>
        <w:t>, 2021</w:t>
      </w:r>
    </w:p>
    <w:p>
      <w:pPr>
        <w:tabs>
          <w:tab w:val="left" w:pos="1985"/>
        </w:tabs>
        <w:spacing w:after="0"/>
        <w:ind w:left="1700" w:hanging="1701" w:hangingChars="850"/>
        <w:rPr>
          <w:b/>
        </w:rPr>
      </w:pPr>
      <w:r>
        <w:rPr>
          <w:b/>
        </w:rPr>
        <w:t>Agenda item:</w:t>
      </w:r>
      <w:r>
        <w:rPr>
          <w:b/>
        </w:rPr>
        <w:tab/>
      </w:r>
      <w:r>
        <w:rPr>
          <w:rFonts w:hint="eastAsia"/>
          <w:b/>
        </w:rPr>
        <w:t>8.</w:t>
      </w:r>
      <w:r>
        <w:rPr>
          <w:b/>
        </w:rPr>
        <w:t>8.2</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b/>
        </w:rPr>
        <w:t>Discussion on PUCCH enhancements</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I</w:t>
      </w:r>
      <w:r>
        <w:rPr>
          <w:rFonts w:hint="eastAsia"/>
          <w:lang w:val="en-US" w:eastAsia="zh-CN"/>
        </w:rPr>
        <w:t>n</w:t>
      </w:r>
      <w:r>
        <w:rPr>
          <w:lang w:val="en-US" w:eastAsia="zh-CN"/>
        </w:rPr>
        <w:t xml:space="preserve"> the RAN1 </w:t>
      </w:r>
      <w:r>
        <w:rPr>
          <w:rFonts w:hint="eastAsia"/>
          <w:lang w:val="en-US" w:eastAsia="zh-CN"/>
        </w:rPr>
        <w:t>#106e</w:t>
      </w:r>
      <w:r>
        <w:rPr>
          <w:lang w:val="en-US" w:eastAsia="zh-CN"/>
        </w:rPr>
        <w:t xml:space="preserve"> </w:t>
      </w:r>
      <w:r>
        <w:rPr>
          <w:rFonts w:hint="eastAsia"/>
          <w:lang w:val="en-US" w:eastAsia="zh-CN"/>
        </w:rPr>
        <w:t>meeting,</w:t>
      </w:r>
      <w:r>
        <w:rPr>
          <w:lang w:val="en-US" w:eastAsia="zh-CN"/>
        </w:rPr>
        <w:t xml:space="preserve"> the PUCCH enhancements was discussed focusing on the dynamic PUCCH repetition factor indication and DMRS bundling across PUCCH repetition [1]. The agreements will be listed within the corresponding sections. </w:t>
      </w:r>
    </w:p>
    <w:p>
      <w:pPr>
        <w:adjustRightInd w:val="0"/>
        <w:snapToGrid w:val="0"/>
        <w:spacing w:after="156" w:afterLines="50"/>
        <w:jc w:val="both"/>
        <w:rPr>
          <w:lang w:val="en-US" w:eastAsia="zh-CN"/>
        </w:rPr>
      </w:pPr>
      <w:r>
        <w:rPr>
          <w:lang w:val="en-US" w:eastAsia="zh-CN"/>
        </w:rPr>
        <w:t xml:space="preserve">In this contribution, we provide our views on </w:t>
      </w:r>
      <w:r>
        <w:rPr>
          <w:rFonts w:hint="eastAsia"/>
          <w:lang w:val="en-US" w:eastAsia="zh-CN"/>
        </w:rPr>
        <w:t>the PUCCH enhancements</w:t>
      </w:r>
      <w:r>
        <w:rPr>
          <w:lang w:val="en-US" w:eastAsia="zh-CN"/>
        </w:rPr>
        <w:t>.</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pStyle w:val="4"/>
        <w:numPr>
          <w:ilvl w:val="255"/>
          <w:numId w:val="0"/>
        </w:numPr>
        <w:ind w:left="0" w:firstLine="0"/>
      </w:pPr>
      <w:r>
        <w:t>2.1 Dynamic PUCCH repetition factor indication</w:t>
      </w:r>
    </w:p>
    <w:p>
      <w:pPr>
        <w:adjustRightInd w:val="0"/>
        <w:snapToGrid w:val="0"/>
        <w:spacing w:after="0"/>
        <w:jc w:val="both"/>
        <w:rPr>
          <w:lang w:val="en-US" w:eastAsia="zh-CN"/>
        </w:rPr>
      </w:pPr>
      <w:r>
        <w:rPr>
          <w:lang w:val="en-US" w:eastAsia="zh-CN"/>
        </w:rPr>
        <w:t xml:space="preserve">In the last meeting, </w:t>
      </w:r>
      <w:r>
        <w:rPr>
          <w:rFonts w:hint="eastAsia"/>
          <w:lang w:val="en-US" w:eastAsia="zh-CN"/>
        </w:rPr>
        <w:t>the</w:t>
      </w:r>
      <w:r>
        <w:rPr>
          <w:lang w:val="en-US" w:eastAsia="zh-CN"/>
        </w:rPr>
        <w:t xml:space="preserve"> </w:t>
      </w:r>
      <w:r>
        <w:rPr>
          <w:rFonts w:hint="eastAsia"/>
          <w:lang w:val="en-US" w:eastAsia="zh-CN"/>
        </w:rPr>
        <w:t>working assumption</w:t>
      </w:r>
      <w:r>
        <w:rPr>
          <w:lang w:val="en-US" w:eastAsia="zh-CN"/>
        </w:rPr>
        <w:t xml:space="preserve"> was </w:t>
      </w:r>
      <w:r>
        <w:rPr>
          <w:rFonts w:hint="eastAsia"/>
          <w:lang w:val="en-US" w:eastAsia="zh-CN"/>
        </w:rPr>
        <w:t>confirmed</w:t>
      </w:r>
      <w:r>
        <w:rPr>
          <w:lang w:val="en-US" w:eastAsia="zh-CN"/>
        </w:rPr>
        <w:t xml:space="preserve"> to support dynamic PUCCH repetition factor indication.</w:t>
      </w:r>
    </w:p>
    <w:p>
      <w:pPr>
        <w:adjustRightInd w:val="0"/>
        <w:snapToGrid w:val="0"/>
        <w:spacing w:after="0"/>
        <w:jc w:val="both"/>
        <w:rPr>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b/>
                <w:bCs/>
                <w:highlight w:val="green"/>
              </w:rPr>
            </w:pPr>
            <w:r>
              <w:rPr>
                <w:b/>
                <w:bCs/>
                <w:highlight w:val="green"/>
              </w:rPr>
              <w:t>Confirm the following working assumption</w:t>
            </w:r>
          </w:p>
          <w:p>
            <w:pPr>
              <w:adjustRightInd w:val="0"/>
              <w:snapToGrid w:val="0"/>
              <w:spacing w:after="0"/>
              <w:rPr>
                <w:lang w:eastAsia="ja-JP"/>
              </w:rPr>
            </w:pPr>
            <w:r>
              <w:rPr>
                <w:highlight w:val="darkYellow"/>
                <w:lang w:eastAsia="ja-JP"/>
              </w:rPr>
              <w:t>Working assumption</w:t>
            </w:r>
            <w:r>
              <w:rPr>
                <w:lang w:eastAsia="ja-JP"/>
              </w:rPr>
              <w:t xml:space="preserve">: </w:t>
            </w:r>
          </w:p>
          <w:p>
            <w:pPr>
              <w:adjustRightInd w:val="0"/>
              <w:snapToGrid w:val="0"/>
              <w:spacing w:after="0"/>
              <w:rPr>
                <w:lang w:eastAsia="ja-JP"/>
              </w:rPr>
            </w:pPr>
            <w:r>
              <w:rPr>
                <w:lang w:eastAsia="ja-JP"/>
              </w:rPr>
              <w:t xml:space="preserve">In Rel-17, for a PUCCH with associated scheduling DCI, support the following for dynamic PUCCH repetition factor indication. </w:t>
            </w:r>
          </w:p>
          <w:p>
            <w:pPr>
              <w:pStyle w:val="32"/>
              <w:numPr>
                <w:ilvl w:val="0"/>
                <w:numId w:val="5"/>
              </w:numPr>
              <w:adjustRightInd w:val="0"/>
              <w:snapToGrid w:val="0"/>
              <w:spacing w:after="0" w:line="240" w:lineRule="auto"/>
              <w:ind w:left="720" w:hanging="357" w:firstLineChars="0"/>
            </w:pPr>
            <w: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pPr>
              <w:pStyle w:val="32"/>
              <w:numPr>
                <w:ilvl w:val="1"/>
                <w:numId w:val="5"/>
              </w:numPr>
              <w:adjustRightInd w:val="0"/>
              <w:snapToGrid w:val="0"/>
              <w:spacing w:after="0" w:line="240" w:lineRule="auto"/>
              <w:ind w:left="1440" w:hanging="357" w:firstLineChars="0"/>
            </w:pPr>
            <w:r>
              <w:t>FFS: RRC signaling enhancement details</w:t>
            </w:r>
          </w:p>
          <w:p>
            <w:pPr>
              <w:adjustRightInd w:val="0"/>
              <w:snapToGrid w:val="0"/>
              <w:spacing w:after="0"/>
              <w:jc w:val="both"/>
              <w:rPr>
                <w:lang w:val="en-US" w:eastAsia="zh-CN"/>
              </w:rPr>
            </w:pPr>
          </w:p>
        </w:tc>
      </w:tr>
    </w:tbl>
    <w:p>
      <w:pPr>
        <w:adjustRightInd w:val="0"/>
        <w:snapToGrid w:val="0"/>
        <w:spacing w:after="0"/>
        <w:jc w:val="both"/>
        <w:rPr>
          <w:lang w:val="en-US" w:eastAsia="zh-CN"/>
        </w:rPr>
      </w:pPr>
    </w:p>
    <w:p>
      <w:pPr>
        <w:adjustRightInd w:val="0"/>
        <w:snapToGrid w:val="0"/>
        <w:spacing w:after="0"/>
        <w:jc w:val="both"/>
        <w:rPr>
          <w:lang w:val="en-US" w:eastAsia="zh-CN"/>
        </w:rPr>
      </w:pPr>
      <w:r>
        <w:rPr>
          <w:lang w:val="en-US" w:eastAsia="zh-CN"/>
        </w:rPr>
        <w:t xml:space="preserve">Based on the working assumption, the repetition factor should be configured per PUCCH resources. </w:t>
      </w:r>
      <w:r>
        <w:rPr>
          <w:rFonts w:hint="eastAsia"/>
          <w:lang w:val="en-US" w:eastAsia="zh-CN"/>
        </w:rPr>
        <w:t>The PRI and the CCE index could be used to indicate both the PUCCH resources and the repetition factor</w:t>
      </w:r>
      <w:r>
        <w:rPr>
          <w:lang w:val="en-US" w:eastAsia="zh-CN"/>
        </w:rPr>
        <w:t>.</w:t>
      </w:r>
      <w:r>
        <w:rPr>
          <w:rFonts w:hint="eastAsia"/>
          <w:lang w:val="en-US" w:eastAsia="zh-CN"/>
        </w:rPr>
        <w:t xml:space="preserve"> </w:t>
      </w:r>
      <w:r>
        <w:rPr>
          <w:lang w:val="en-US" w:eastAsia="zh-CN"/>
        </w:rPr>
        <w:t>B</w:t>
      </w:r>
      <w:r>
        <w:rPr>
          <w:rFonts w:hint="eastAsia"/>
          <w:lang w:val="en-US" w:eastAsia="zh-CN"/>
        </w:rPr>
        <w:t xml:space="preserve">ut there </w:t>
      </w:r>
      <w:r>
        <w:rPr>
          <w:lang w:val="en-US" w:eastAsia="zh-CN"/>
        </w:rPr>
        <w:t xml:space="preserve">are </w:t>
      </w:r>
      <w:r>
        <w:rPr>
          <w:rFonts w:hint="eastAsia"/>
          <w:lang w:val="en-US" w:eastAsia="zh-CN"/>
        </w:rPr>
        <w:t>still some issue</w:t>
      </w:r>
      <w:r>
        <w:rPr>
          <w:lang w:val="en-US" w:eastAsia="zh-CN"/>
        </w:rPr>
        <w:t>s</w:t>
      </w:r>
      <w:r>
        <w:rPr>
          <w:rFonts w:hint="eastAsia"/>
          <w:lang w:val="en-US" w:eastAsia="zh-CN"/>
        </w:rPr>
        <w:t xml:space="preserve"> about the indication mechanism. </w:t>
      </w:r>
      <w:r>
        <w:rPr>
          <w:lang w:val="en-US" w:eastAsia="zh-CN"/>
        </w:rPr>
        <w:t>If</w:t>
      </w:r>
      <w:r>
        <w:rPr>
          <w:rFonts w:hint="eastAsia"/>
          <w:lang w:val="en-US" w:eastAsia="zh-CN"/>
        </w:rPr>
        <w:t xml:space="preserve"> the </w:t>
      </w:r>
      <w:r>
        <w:rPr>
          <w:lang w:val="en-US" w:eastAsia="zh-CN"/>
        </w:rPr>
        <w:t>2</w:t>
      </w:r>
      <w:r>
        <w:rPr>
          <w:vertAlign w:val="superscript"/>
          <w:lang w:val="en-US" w:eastAsia="zh-CN"/>
        </w:rPr>
        <w:t>nd</w:t>
      </w:r>
      <w:r>
        <w:rPr>
          <w:lang w:val="en-US" w:eastAsia="zh-CN"/>
        </w:rPr>
        <w:t xml:space="preserve"> </w:t>
      </w:r>
      <w:r>
        <w:rPr>
          <w:rFonts w:hint="eastAsia"/>
          <w:lang w:val="en-US" w:eastAsia="zh-CN"/>
        </w:rPr>
        <w:t xml:space="preserve">starting CCE </w:t>
      </w:r>
      <w:r>
        <w:rPr>
          <w:lang w:val="en-US" w:eastAsia="zh-CN"/>
        </w:rPr>
        <w:t xml:space="preserve">position is used to indicate repetition factor 2, then all the UEs allocated with 2 repetitions would be overlap in the PDCCH and conflict. </w:t>
      </w:r>
    </w:p>
    <w:p>
      <w:pPr>
        <w:adjustRightInd w:val="0"/>
        <w:snapToGrid w:val="0"/>
        <w:spacing w:after="0"/>
        <w:jc w:val="both"/>
        <w:rPr>
          <w:lang w:val="en-US" w:eastAsia="zh-CN"/>
        </w:rPr>
      </w:pPr>
      <w:r>
        <w:rPr>
          <w:lang w:val="en-US" w:eastAsia="zh-CN"/>
        </w:rPr>
        <w:t>Another issue is that, the starting CCE index are limited due to the aggregation level. For those high aggregation level such as 8 and 16, the staring position are limited. Then then candidate repetition factors configured for those PUCCH should also be limited.</w:t>
      </w:r>
    </w:p>
    <w:p>
      <w:pPr>
        <w:adjustRightInd w:val="0"/>
        <w:snapToGrid w:val="0"/>
        <w:spacing w:after="0"/>
        <w:jc w:val="both"/>
        <w:rPr>
          <w:lang w:val="en-US" w:eastAsia="zh-CN"/>
        </w:rPr>
      </w:pPr>
    </w:p>
    <w:p>
      <w:pPr>
        <w:adjustRightInd w:val="0"/>
        <w:snapToGrid w:val="0"/>
        <w:spacing w:after="0"/>
        <w:jc w:val="both"/>
        <w:rPr>
          <w:b/>
          <w:bCs/>
          <w:lang w:val="en-US" w:eastAsia="zh-CN"/>
        </w:rPr>
      </w:pPr>
      <w:r>
        <w:rPr>
          <w:b/>
          <w:bCs/>
          <w:lang w:val="en-US" w:eastAsia="zh-CN"/>
        </w:rPr>
        <w:t>Observation 1:</w:t>
      </w:r>
    </w:p>
    <w:p>
      <w:pPr>
        <w:adjustRightInd w:val="0"/>
        <w:snapToGrid w:val="0"/>
        <w:spacing w:after="0"/>
        <w:jc w:val="both"/>
        <w:rPr>
          <w:b/>
          <w:bCs/>
          <w:lang w:val="en-US" w:eastAsia="zh-CN"/>
        </w:rPr>
      </w:pPr>
      <w:r>
        <w:rPr>
          <w:b/>
          <w:bCs/>
          <w:lang w:val="en-US" w:eastAsia="zh-CN"/>
        </w:rPr>
        <w:t>I</w:t>
      </w:r>
      <w:r>
        <w:rPr>
          <w:rFonts w:hint="eastAsia"/>
          <w:b/>
          <w:bCs/>
          <w:lang w:val="en-US" w:eastAsia="zh-CN"/>
        </w:rPr>
        <w:t>f</w:t>
      </w:r>
      <w:r>
        <w:rPr>
          <w:b/>
          <w:bCs/>
          <w:lang w:val="en-US" w:eastAsia="zh-CN"/>
        </w:rPr>
        <w:t xml:space="preserve"> the staring CCE index is used to indicate the repetition factors, there would be conflicts for the UE who share a same repetition factor.</w:t>
      </w:r>
    </w:p>
    <w:p>
      <w:pPr>
        <w:adjustRightInd w:val="0"/>
        <w:snapToGrid w:val="0"/>
        <w:spacing w:after="0"/>
        <w:jc w:val="both"/>
        <w:rPr>
          <w:b/>
          <w:bCs/>
          <w:lang w:val="en-US" w:eastAsia="zh-CN"/>
        </w:rPr>
      </w:pPr>
    </w:p>
    <w:p>
      <w:pPr>
        <w:adjustRightInd w:val="0"/>
        <w:snapToGrid w:val="0"/>
        <w:spacing w:after="0"/>
        <w:jc w:val="both"/>
        <w:rPr>
          <w:b/>
          <w:bCs/>
          <w:lang w:val="en-US" w:eastAsia="zh-CN"/>
        </w:rPr>
      </w:pPr>
      <w:r>
        <w:rPr>
          <w:b/>
          <w:bCs/>
          <w:lang w:val="en-US" w:eastAsia="zh-CN"/>
        </w:rPr>
        <w:t>Observation 2:</w:t>
      </w:r>
    </w:p>
    <w:p>
      <w:pPr>
        <w:adjustRightInd w:val="0"/>
        <w:snapToGrid w:val="0"/>
        <w:spacing w:after="0"/>
        <w:jc w:val="both"/>
        <w:rPr>
          <w:b/>
          <w:bCs/>
          <w:lang w:val="en-US" w:eastAsia="zh-CN"/>
        </w:rPr>
      </w:pPr>
      <w:r>
        <w:rPr>
          <w:b/>
          <w:bCs/>
          <w:lang w:val="en-US" w:eastAsia="zh-CN"/>
        </w:rPr>
        <w:t>The staring CCE index would be limited due to high aggregation level.</w:t>
      </w:r>
    </w:p>
    <w:p>
      <w:pPr>
        <w:adjustRightInd w:val="0"/>
        <w:snapToGrid w:val="0"/>
        <w:spacing w:after="0"/>
        <w:jc w:val="both"/>
        <w:rPr>
          <w:b/>
          <w:bCs/>
          <w:lang w:val="en-US" w:eastAsia="zh-CN"/>
        </w:rPr>
      </w:pPr>
    </w:p>
    <w:p>
      <w:pPr>
        <w:adjustRightInd w:val="0"/>
        <w:snapToGrid w:val="0"/>
        <w:spacing w:after="0"/>
        <w:rPr>
          <w:bCs/>
          <w:lang w:val="en-US" w:eastAsia="zh-CN"/>
        </w:rPr>
      </w:pPr>
      <w:r>
        <w:rPr>
          <w:bCs/>
          <w:lang w:val="en-US" w:eastAsia="zh-CN"/>
        </w:rPr>
        <w:t xml:space="preserve">In the last meeting, the repetition factors have been agreed as follows.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hd w:val="clear" w:color="auto" w:fill="FFFFFF"/>
              <w:adjustRightInd w:val="0"/>
              <w:snapToGrid w:val="0"/>
              <w:spacing w:after="0"/>
              <w:rPr>
                <w:iCs/>
                <w:highlight w:val="green"/>
              </w:rPr>
            </w:pPr>
            <w:r>
              <w:rPr>
                <w:iCs/>
                <w:highlight w:val="green"/>
              </w:rPr>
              <w:t>Agreement</w:t>
            </w:r>
          </w:p>
          <w:p>
            <w:pPr>
              <w:pStyle w:val="32"/>
              <w:numPr>
                <w:ilvl w:val="0"/>
                <w:numId w:val="5"/>
              </w:numPr>
              <w:adjustRightInd w:val="0"/>
              <w:snapToGrid w:val="0"/>
              <w:spacing w:after="0" w:line="240" w:lineRule="auto"/>
              <w:ind w:left="420" w:hanging="360" w:firstLineChars="0"/>
            </w:pPr>
            <w:r>
              <w:rPr>
                <w:rFonts w:hint="eastAsia"/>
              </w:rPr>
              <w:t xml:space="preserve">In Rel-17, reuse the Rel-16 PUCCH repetition factors 2, 4, 8. </w:t>
            </w:r>
          </w:p>
          <w:p>
            <w:pPr>
              <w:pStyle w:val="32"/>
              <w:numPr>
                <w:ilvl w:val="0"/>
                <w:numId w:val="5"/>
              </w:numPr>
              <w:adjustRightInd w:val="0"/>
              <w:snapToGrid w:val="0"/>
              <w:spacing w:after="0" w:line="240" w:lineRule="auto"/>
              <w:ind w:left="420" w:hanging="360" w:firstLineChars="0"/>
            </w:pPr>
            <w:r>
              <w:rPr>
                <w:rFonts w:hint="eastAsia"/>
              </w:rPr>
              <w:t>Do not support PUCCH repetition factor larger than 8 In Rel-17.</w:t>
            </w:r>
          </w:p>
          <w:p>
            <w:pPr>
              <w:adjustRightInd w:val="0"/>
              <w:snapToGrid w:val="0"/>
              <w:spacing w:after="0"/>
              <w:rPr>
                <w:bCs/>
                <w:lang w:eastAsia="zh-CN"/>
              </w:rPr>
            </w:pPr>
          </w:p>
        </w:tc>
      </w:tr>
    </w:tbl>
    <w:p>
      <w:pPr>
        <w:adjustRightInd w:val="0"/>
        <w:snapToGrid w:val="0"/>
        <w:spacing w:after="0"/>
        <w:jc w:val="both"/>
        <w:rPr>
          <w:lang w:val="en-US" w:eastAsia="zh-CN"/>
        </w:rPr>
      </w:pPr>
    </w:p>
    <w:p>
      <w:pPr>
        <w:adjustRightInd w:val="0"/>
        <w:snapToGrid w:val="0"/>
        <w:spacing w:after="0"/>
        <w:jc w:val="both"/>
        <w:rPr>
          <w:lang w:val="en-US" w:eastAsia="zh-CN"/>
        </w:rPr>
      </w:pPr>
      <w:r>
        <w:rPr>
          <w:lang w:val="en-US" w:eastAsia="zh-CN"/>
        </w:rPr>
        <w:t>It was concluded that no other repetition factors would be supported beyond 2,4 and 8. Then there is still one issue about how to indicated no repetition or the repetition factor 1. Two options could be considered. One is to include the repetition factor 1 into the repetition factor set, using the PRI and starting CCE index to indicate “no repetition”. The other is to use other filed to indicate no repetition is applied for this PUCCH transmission. It should be noted that using the starting CCE index to indicate repetition factor is limited due to the aggregation level.</w:t>
      </w:r>
    </w:p>
    <w:p>
      <w:pPr>
        <w:adjustRightInd w:val="0"/>
        <w:snapToGrid w:val="0"/>
        <w:spacing w:after="0"/>
        <w:jc w:val="both"/>
        <w:rPr>
          <w:lang w:val="en-US" w:eastAsia="zh-CN"/>
        </w:rPr>
      </w:pPr>
    </w:p>
    <w:p>
      <w:pPr>
        <w:adjustRightInd w:val="0"/>
        <w:snapToGrid w:val="0"/>
        <w:spacing w:after="0"/>
        <w:jc w:val="both"/>
        <w:rPr>
          <w:b/>
          <w:bCs/>
          <w:lang w:val="en-US" w:eastAsia="zh-CN"/>
        </w:rPr>
      </w:pPr>
      <w:r>
        <w:rPr>
          <w:b/>
          <w:bCs/>
          <w:lang w:val="en-US" w:eastAsia="zh-CN"/>
        </w:rPr>
        <w:t xml:space="preserve">Proposal 1: </w:t>
      </w:r>
    </w:p>
    <w:p>
      <w:pPr>
        <w:adjustRightInd w:val="0"/>
        <w:snapToGrid w:val="0"/>
        <w:spacing w:after="0"/>
        <w:jc w:val="both"/>
        <w:rPr>
          <w:lang w:val="en-US" w:eastAsia="zh-CN"/>
        </w:rPr>
      </w:pPr>
      <w:r>
        <w:rPr>
          <w:b/>
          <w:bCs/>
          <w:lang w:val="en-US" w:eastAsia="zh-CN"/>
        </w:rPr>
        <w:t>The mechanism to indicate no repetitions should be discussed for PUCCH. Both including the repetition factor 1 into the set and additional indication could be considered.</w:t>
      </w:r>
    </w:p>
    <w:p>
      <w:pPr>
        <w:pStyle w:val="4"/>
        <w:numPr>
          <w:ilvl w:val="255"/>
          <w:numId w:val="0"/>
        </w:numPr>
        <w:rPr>
          <w:lang w:val="en-US" w:eastAsia="zh-CN"/>
        </w:rPr>
      </w:pPr>
      <w:r>
        <w:rPr>
          <w:rFonts w:hint="eastAsia"/>
          <w:lang w:val="en-US" w:eastAsia="zh-CN"/>
        </w:rPr>
        <w:t>2.</w:t>
      </w:r>
      <w:r>
        <w:t>1.1</w:t>
      </w:r>
      <w:r>
        <w:rPr>
          <w:rFonts w:hint="eastAsia"/>
          <w:lang w:val="en-US" w:eastAsia="zh-CN"/>
        </w:rPr>
        <w:t xml:space="preserve"> Applicability of dynamic PUCCH repetition factor indication</w:t>
      </w:r>
    </w:p>
    <w:p>
      <w:pPr>
        <w:adjustRightInd w:val="0"/>
        <w:snapToGrid w:val="0"/>
        <w:spacing w:after="0"/>
        <w:rPr>
          <w:lang w:val="en-US" w:eastAsia="zh-CN"/>
        </w:rPr>
      </w:pPr>
      <w:r>
        <w:rPr>
          <w:rFonts w:hint="eastAsia"/>
          <w:lang w:val="en-US" w:eastAsia="zh-CN"/>
        </w:rPr>
        <w:t xml:space="preserve">In the last meeting, </w:t>
      </w:r>
      <w:r>
        <w:rPr>
          <w:lang w:val="en-US" w:eastAsia="zh-CN"/>
        </w:rPr>
        <w:t>one FL’s proposal was provided about the supported PUCCH formats.</w:t>
      </w:r>
    </w:p>
    <w:p>
      <w:pPr>
        <w:adjustRightInd w:val="0"/>
        <w:snapToGrid w:val="0"/>
        <w:spacing w:after="0"/>
        <w:rPr>
          <w:rFonts w:hint="eastAsia"/>
          <w:bCs w:val="0"/>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snapToGrid/>
              <w:spacing w:after="0"/>
              <w:rPr>
                <w:bCs/>
                <w:lang w:eastAsia="zh-CN"/>
              </w:rPr>
            </w:pPr>
            <w:r>
              <w:rPr>
                <w:b/>
                <w:bCs/>
                <w:color w:val="FF00FF"/>
              </w:rPr>
              <w:t>FL Proposal 1</w:t>
            </w:r>
            <w:r>
              <w:rPr>
                <w:b/>
                <w:bCs/>
              </w:rPr>
              <w:t>: Support dynamic PUCCH repetition factor indication for all PUCCH formats including format 0, 1, 2, 3, 4.</w:t>
            </w:r>
            <w:r>
              <w:rPr>
                <w:color w:val="000000" w:themeColor="text1"/>
                <w14:textFill>
                  <w14:solidFill>
                    <w14:schemeClr w14:val="tx1"/>
                  </w14:solidFill>
                </w14:textFill>
              </w:rPr>
              <w:t xml:space="preserve"> </w:t>
            </w:r>
          </w:p>
        </w:tc>
      </w:tr>
    </w:tbl>
    <w:p>
      <w:pPr>
        <w:adjustRightInd w:val="0"/>
        <w:snapToGrid w:val="0"/>
        <w:spacing w:after="0"/>
        <w:jc w:val="both"/>
        <w:rPr>
          <w:lang w:val="en-US" w:eastAsia="zh-CN"/>
        </w:rPr>
      </w:pPr>
    </w:p>
    <w:p>
      <w:pPr>
        <w:adjustRightInd w:val="0"/>
        <w:snapToGrid w:val="0"/>
        <w:spacing w:after="0"/>
        <w:jc w:val="both"/>
        <w:rPr>
          <w:lang w:val="en-US" w:eastAsia="zh-CN"/>
        </w:rPr>
      </w:pPr>
      <w:r>
        <w:rPr>
          <w:lang w:val="en-US" w:eastAsia="zh-CN"/>
        </w:rPr>
        <w:t xml:space="preserve">Current specification only support PUCCH repetition for PUCCH format 1, 3 and 4. PUCCH format 0 and 2 are not supported. Based on current WID, only signaling for dynamic indication is supposed to be specified. Enhance the other PUCCH format with repetitions is out of the scope at least for CE. From CE’s perspective, during the SI, the PUCCH format 0 and format 2 are not the bottleneck for the coverage. Then there is also no motivation to enhance those two formats. </w:t>
      </w:r>
    </w:p>
    <w:p>
      <w:pPr>
        <w:adjustRightInd w:val="0"/>
        <w:snapToGrid w:val="0"/>
        <w:spacing w:after="0"/>
        <w:jc w:val="both"/>
        <w:rPr>
          <w:lang w:val="en-US" w:eastAsia="zh-CN"/>
        </w:rPr>
      </w:pPr>
      <w:r>
        <w:rPr>
          <w:lang w:val="en-US" w:eastAsia="zh-CN"/>
        </w:rPr>
        <w:t xml:space="preserve">On the other hand, during the meeting some company mentioned that the enhancement of the PUCCH format 0 and 2 are discussed in another agenda. At least, the AI of CE should wait for the conclusion from the other agenda. In addition, it needs to further clarify motivation to enhance those formats, as the CE SI do not provide any information about that. </w:t>
      </w:r>
    </w:p>
    <w:p>
      <w:pPr>
        <w:adjustRightInd w:val="0"/>
        <w:snapToGrid w:val="0"/>
        <w:spacing w:after="0"/>
        <w:jc w:val="both"/>
        <w:rPr>
          <w:lang w:val="en-US" w:eastAsia="zh-CN"/>
        </w:rPr>
      </w:pPr>
    </w:p>
    <w:p>
      <w:pPr>
        <w:adjustRightInd w:val="0"/>
        <w:snapToGrid w:val="0"/>
        <w:spacing w:after="0"/>
        <w:jc w:val="both"/>
        <w:rPr>
          <w:b/>
          <w:bCs/>
          <w:lang w:val="en-US" w:eastAsia="zh-CN"/>
        </w:rPr>
      </w:pPr>
      <w:r>
        <w:rPr>
          <w:b/>
          <w:bCs/>
          <w:lang w:val="en-US" w:eastAsia="zh-CN"/>
        </w:rPr>
        <w:t xml:space="preserve">Proposal </w:t>
      </w:r>
      <w:r>
        <w:rPr>
          <w:rFonts w:hint="eastAsia"/>
          <w:b/>
          <w:bCs/>
          <w:lang w:val="en-US" w:eastAsia="zh-CN"/>
        </w:rPr>
        <w:t>2</w:t>
      </w:r>
      <w:r>
        <w:rPr>
          <w:b/>
          <w:bCs/>
          <w:lang w:val="en-US" w:eastAsia="zh-CN"/>
        </w:rPr>
        <w:t xml:space="preserve">: </w:t>
      </w:r>
    </w:p>
    <w:p>
      <w:pPr>
        <w:adjustRightInd w:val="0"/>
        <w:snapToGrid w:val="0"/>
        <w:spacing w:after="0"/>
        <w:jc w:val="both"/>
        <w:rPr>
          <w:lang w:val="en-US" w:eastAsia="zh-CN"/>
        </w:rPr>
      </w:pPr>
      <w:r>
        <w:rPr>
          <w:b/>
          <w:bCs/>
          <w:lang w:val="en-US" w:eastAsia="zh-CN"/>
        </w:rPr>
        <w:t>Currently only PUCCH format 1, 3, 4 should be supported. Format 0 and 2 needs more discussion and clarification.</w:t>
      </w:r>
    </w:p>
    <w:p>
      <w:pPr>
        <w:pStyle w:val="4"/>
        <w:numPr>
          <w:ilvl w:val="255"/>
          <w:numId w:val="0"/>
        </w:numPr>
        <w:ind w:left="0" w:firstLine="0"/>
      </w:pPr>
      <w:r>
        <w:t>2.2 DMRS bundling across PUCCH repetitions</w:t>
      </w:r>
    </w:p>
    <w:p>
      <w:pPr>
        <w:adjustRightInd w:val="0"/>
        <w:snapToGrid w:val="0"/>
        <w:spacing w:after="0"/>
        <w:jc w:val="both"/>
        <w:rPr>
          <w:lang w:val="en-US" w:eastAsia="zh-CN"/>
        </w:rPr>
      </w:pPr>
      <w:r>
        <w:rPr>
          <w:lang w:val="en-US" w:eastAsia="zh-CN"/>
        </w:rPr>
        <w:t>T</w:t>
      </w:r>
      <w:r>
        <w:rPr>
          <w:rFonts w:hint="eastAsia"/>
          <w:lang w:val="en-US" w:eastAsia="zh-CN"/>
        </w:rPr>
        <w:t xml:space="preserve">he </w:t>
      </w:r>
      <w:r>
        <w:rPr>
          <w:lang w:val="en-US" w:eastAsia="zh-CN"/>
        </w:rPr>
        <w:t>DMRS bundling of PUCCH DMRS is similar with the joint channel estimation of PUSCH. The coverage could be improved due to the enhancements of the accuracy of channel estimations. T</w:t>
      </w:r>
      <w:r>
        <w:rPr>
          <w:rFonts w:hint="eastAsia"/>
          <w:lang w:val="en-US" w:eastAsia="zh-CN"/>
        </w:rPr>
        <w:t xml:space="preserve">he </w:t>
      </w:r>
      <w:r>
        <w:rPr>
          <w:lang w:val="en-US" w:eastAsia="zh-CN"/>
        </w:rPr>
        <w:t>PUCCH repetition under the consecutive slots could be benefit from the DMRS bundling. The PUCCH repetition number could be reduced due to the improvement of channel estimation. Similar as joint channel estimation, the DMRS bundling should consider the power consistency, phase consistency, and the use of time-frequency resources. Since the frequency hopping is usually configured for the PUCCH transmission. The combination of frequency hopping and DMRS bundling should also discussed.</w:t>
      </w:r>
    </w:p>
    <w:p>
      <w:pPr>
        <w:adjustRightInd w:val="0"/>
        <w:snapToGrid w:val="0"/>
        <w:spacing w:after="0"/>
        <w:jc w:val="both"/>
        <w:rPr>
          <w:bCs/>
          <w:lang w:val="en-US" w:eastAsia="zh-CN"/>
        </w:rPr>
      </w:pPr>
    </w:p>
    <w:p>
      <w:pPr>
        <w:adjustRightInd w:val="0"/>
        <w:snapToGrid w:val="0"/>
        <w:spacing w:after="0"/>
        <w:rPr>
          <w:bCs/>
          <w:lang w:val="en-US" w:eastAsia="zh-CN"/>
        </w:rPr>
      </w:pPr>
      <w:r>
        <w:rPr>
          <w:bCs/>
          <w:lang w:val="en-US" w:eastAsia="zh-CN"/>
        </w:rPr>
        <w:t xml:space="preserve">In the 105e meeting, the following agreements have been reached. </w:t>
      </w:r>
    </w:p>
    <w:p>
      <w:pPr>
        <w:adjustRightInd w:val="0"/>
        <w:snapToGrid w:val="0"/>
        <w:spacing w:after="0"/>
        <w:rPr>
          <w:bCs/>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tcPr>
          <w:p>
            <w:pPr>
              <w:shd w:val="clear" w:color="auto" w:fill="FFFFFF"/>
              <w:adjustRightInd w:val="0"/>
              <w:snapToGrid w:val="0"/>
              <w:spacing w:after="0"/>
            </w:pPr>
            <w:r>
              <w:rPr>
                <w:highlight w:val="green"/>
              </w:rPr>
              <w:t>Agreement</w:t>
            </w:r>
            <w:r>
              <w:t xml:space="preserve">: </w:t>
            </w:r>
          </w:p>
          <w:p>
            <w:pPr>
              <w:adjustRightInd w:val="0"/>
              <w:snapToGrid w:val="0"/>
              <w:spacing w:after="0"/>
            </w:pPr>
            <w:r>
              <w:t>For DMRS bundling for PUCCH repetitions, specify a time domain window during which a UE is expected to maintain power consistency and phase continuity among PUCCH repetitions subject to power consistency and phase continuity requirements.</w:t>
            </w:r>
          </w:p>
          <w:p>
            <w:pPr>
              <w:pStyle w:val="32"/>
              <w:numPr>
                <w:ilvl w:val="0"/>
                <w:numId w:val="6"/>
              </w:numPr>
              <w:adjustRightInd w:val="0"/>
              <w:snapToGrid w:val="0"/>
              <w:spacing w:after="0"/>
              <w:ind w:left="720" w:hanging="360" w:firstLineChars="0"/>
              <w:jc w:val="both"/>
            </w:pPr>
            <w:r>
              <w:rPr>
                <w:color w:val="000000"/>
              </w:rPr>
              <w:t>Strive for common design of the time domain window for PUSCH/PUCCH with DMRS bundling as much</w:t>
            </w:r>
            <w:r>
              <w:t xml:space="preserve"> as possible. </w:t>
            </w:r>
          </w:p>
          <w:p>
            <w:pPr>
              <w:adjustRightInd w:val="0"/>
              <w:snapToGrid w:val="0"/>
              <w:spacing w:after="0"/>
              <w:rPr>
                <w:bCs/>
                <w:lang w:eastAsia="zh-CN"/>
              </w:rPr>
            </w:pPr>
          </w:p>
        </w:tc>
      </w:tr>
    </w:tbl>
    <w:p>
      <w:pPr>
        <w:adjustRightInd w:val="0"/>
        <w:snapToGrid w:val="0"/>
        <w:spacing w:after="0"/>
        <w:rPr>
          <w:bCs/>
          <w:lang w:val="en-US" w:eastAsia="zh-CN"/>
        </w:rPr>
      </w:pPr>
    </w:p>
    <w:p>
      <w:pPr>
        <w:adjustRightInd w:val="0"/>
        <w:snapToGrid w:val="0"/>
        <w:spacing w:after="0"/>
        <w:rPr>
          <w:bCs/>
          <w:lang w:val="en-US" w:eastAsia="zh-CN"/>
        </w:rPr>
      </w:pPr>
      <w:r>
        <w:rPr>
          <w:bCs/>
          <w:lang w:val="en-US" w:eastAsia="zh-CN"/>
        </w:rPr>
        <w:t xml:space="preserve">Since the combination of frequency hopping and joint channel estimation have been discussed in the agenda of joint channel estimation, frequency hopping pattern should at least the starting point. </w:t>
      </w:r>
    </w:p>
    <w:p>
      <w:pPr>
        <w:adjustRightInd w:val="0"/>
        <w:snapToGrid w:val="0"/>
        <w:spacing w:after="0"/>
        <w:rPr>
          <w:bCs/>
          <w:lang w:val="en-US" w:eastAsia="zh-CN"/>
        </w:rPr>
      </w:pPr>
    </w:p>
    <w:p>
      <w:pPr>
        <w:adjustRightInd w:val="0"/>
        <w:snapToGrid w:val="0"/>
        <w:spacing w:after="0"/>
        <w:rPr>
          <w:b/>
          <w:lang w:val="en-US" w:eastAsia="zh-CN"/>
        </w:rPr>
      </w:pPr>
      <w:r>
        <w:rPr>
          <w:b/>
          <w:lang w:val="en-US" w:eastAsia="zh-CN"/>
        </w:rPr>
        <w:t xml:space="preserve">Proposal </w:t>
      </w:r>
      <w:r>
        <w:rPr>
          <w:rFonts w:hint="eastAsia"/>
          <w:b/>
          <w:lang w:val="en-US" w:eastAsia="zh-CN"/>
        </w:rPr>
        <w:t>3</w:t>
      </w:r>
      <w:r>
        <w:rPr>
          <w:b/>
          <w:lang w:val="en-US" w:eastAsia="zh-CN"/>
        </w:rPr>
        <w:t>:</w:t>
      </w:r>
    </w:p>
    <w:p>
      <w:pPr>
        <w:adjustRightInd w:val="0"/>
        <w:snapToGrid w:val="0"/>
        <w:spacing w:after="0"/>
        <w:rPr>
          <w:b/>
          <w:lang w:val="en-US" w:eastAsia="zh-CN"/>
        </w:rPr>
      </w:pPr>
      <w:r>
        <w:rPr>
          <w:b/>
          <w:lang w:val="en-US" w:eastAsia="zh-CN"/>
        </w:rPr>
        <w:t xml:space="preserve">For the design of frequency hopping, the DMRS bundling of PUSCH should could be the starting point of PUCCH. </w:t>
      </w:r>
    </w:p>
    <w:p>
      <w:pPr>
        <w:pStyle w:val="5"/>
        <w:adjustRightInd w:val="0"/>
        <w:snapToGrid w:val="0"/>
        <w:spacing w:after="0"/>
        <w:rPr>
          <w:lang w:val="en-US" w:eastAsia="zh-CN"/>
        </w:rPr>
      </w:pPr>
      <w:r>
        <w:rPr>
          <w:rFonts w:hint="eastAsia"/>
          <w:lang w:val="en-US" w:eastAsia="zh-CN"/>
        </w:rPr>
        <w:t>2.2.1 Time domain window design details</w:t>
      </w:r>
    </w:p>
    <w:p>
      <w:pPr>
        <w:adjustRightInd w:val="0"/>
        <w:snapToGrid w:val="0"/>
        <w:spacing w:after="0"/>
        <w:rPr>
          <w:bCs/>
          <w:lang w:val="en-US" w:eastAsia="zh-CN"/>
        </w:rPr>
      </w:pPr>
      <w:r>
        <w:rPr>
          <w:bCs/>
          <w:lang w:val="en-US" w:eastAsia="zh-CN"/>
        </w:rPr>
        <w:t>O</w:t>
      </w:r>
      <w:r>
        <w:rPr>
          <w:rFonts w:hint="eastAsia"/>
          <w:bCs/>
          <w:lang w:val="en-US" w:eastAsia="zh-CN"/>
        </w:rPr>
        <w:t>ne</w:t>
      </w:r>
      <w:r>
        <w:rPr>
          <w:bCs/>
          <w:lang w:val="en-US" w:eastAsia="zh-CN"/>
        </w:rPr>
        <w:t xml:space="preserve"> issue was raised during the last meeting and no conclusion had been reached. </w:t>
      </w:r>
    </w:p>
    <w:p>
      <w:pPr>
        <w:adjustRightInd w:val="0"/>
        <w:snapToGrid w:val="0"/>
        <w:spacing w:after="0"/>
        <w:rPr>
          <w:bCs/>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b/>
                <w:bCs/>
              </w:rPr>
            </w:pPr>
            <w:r>
              <w:rPr>
                <w:b/>
                <w:bCs/>
                <w:highlight w:val="magenta"/>
              </w:rPr>
              <w:t>Updated FL Question 2</w:t>
            </w:r>
            <w:r>
              <w:rPr>
                <w:b/>
                <w:bCs/>
              </w:rPr>
              <w:t xml:space="preserve">: the RRC configuration for DMRS bundling across PUCCH repetitions is </w:t>
            </w:r>
          </w:p>
          <w:p>
            <w:pPr>
              <w:pStyle w:val="32"/>
              <w:numPr>
                <w:ilvl w:val="0"/>
                <w:numId w:val="7"/>
              </w:numPr>
              <w:adjustRightInd w:val="0"/>
              <w:snapToGrid w:val="0"/>
              <w:spacing w:after="0"/>
              <w:ind w:left="720" w:firstLine="400"/>
              <w:rPr>
                <w:b/>
                <w:bCs/>
              </w:rPr>
            </w:pPr>
            <w:r>
              <w:rPr>
                <w:b/>
                <w:bCs/>
              </w:rPr>
              <w:t>Option 1: per UE</w:t>
            </w:r>
          </w:p>
          <w:p>
            <w:pPr>
              <w:pStyle w:val="32"/>
              <w:numPr>
                <w:ilvl w:val="0"/>
                <w:numId w:val="7"/>
              </w:numPr>
              <w:adjustRightInd w:val="0"/>
              <w:snapToGrid w:val="0"/>
              <w:spacing w:after="0"/>
              <w:ind w:left="720" w:firstLine="400"/>
              <w:rPr>
                <w:b/>
                <w:bCs/>
              </w:rPr>
            </w:pPr>
            <w:r>
              <w:rPr>
                <w:b/>
                <w:bCs/>
              </w:rPr>
              <w:t>Option 2: per UL BWP</w:t>
            </w:r>
          </w:p>
          <w:p>
            <w:pPr>
              <w:pStyle w:val="32"/>
              <w:numPr>
                <w:ilvl w:val="0"/>
                <w:numId w:val="7"/>
              </w:numPr>
              <w:adjustRightInd w:val="0"/>
              <w:snapToGrid w:val="0"/>
              <w:spacing w:after="0"/>
              <w:ind w:left="720" w:firstLine="400"/>
              <w:rPr>
                <w:b/>
                <w:bCs/>
              </w:rPr>
            </w:pPr>
            <w:r>
              <w:rPr>
                <w:b/>
                <w:bCs/>
              </w:rPr>
              <w:t xml:space="preserve">Option 3: per PUCCH resource format </w:t>
            </w:r>
          </w:p>
          <w:p>
            <w:pPr>
              <w:pStyle w:val="32"/>
              <w:numPr>
                <w:ilvl w:val="0"/>
                <w:numId w:val="7"/>
              </w:numPr>
              <w:adjustRightInd w:val="0"/>
              <w:snapToGrid w:val="0"/>
              <w:spacing w:after="0"/>
              <w:ind w:firstLine="400"/>
              <w:rPr>
                <w:lang w:eastAsia="zh-CN"/>
              </w:rPr>
            </w:pPr>
            <w:r>
              <w:rPr>
                <w:b/>
                <w:bCs/>
              </w:rPr>
              <w:t xml:space="preserve">Option 4: per PUCCH resource  </w:t>
            </w:r>
          </w:p>
        </w:tc>
      </w:tr>
    </w:tbl>
    <w:p>
      <w:pPr>
        <w:adjustRightInd w:val="0"/>
        <w:snapToGrid w:val="0"/>
        <w:spacing w:after="0"/>
        <w:rPr>
          <w:bCs/>
          <w:lang w:val="en-US" w:eastAsia="zh-CN"/>
        </w:rPr>
      </w:pPr>
    </w:p>
    <w:p>
      <w:pPr>
        <w:adjustRightInd w:val="0"/>
        <w:snapToGrid w:val="0"/>
        <w:spacing w:after="0"/>
        <w:rPr>
          <w:bCs/>
          <w:lang w:val="en-US" w:eastAsia="zh-CN"/>
        </w:rPr>
      </w:pPr>
      <w:r>
        <w:rPr>
          <w:bCs/>
          <w:lang w:val="en-US" w:eastAsia="zh-CN"/>
        </w:rPr>
        <w:t>I</w:t>
      </w:r>
      <w:r>
        <w:rPr>
          <w:rFonts w:hint="eastAsia"/>
          <w:bCs/>
          <w:lang w:val="en-US" w:eastAsia="zh-CN"/>
        </w:rPr>
        <w:t>n</w:t>
      </w:r>
      <w:r>
        <w:rPr>
          <w:bCs/>
          <w:lang w:val="en-US" w:eastAsia="zh-CN"/>
        </w:rPr>
        <w:t xml:space="preserve"> Rel-16, the PUCCH repetitions is configured per PUCCH format. And in the current discussion, the PUCCH repetition could be dynamically indicated. Then for the DMRS bundling, at least per PUCCH format should be supported. And finer granularity (option 4) could bring more flexibility for gNB to use DMRS bundling or not. Per UE configuration is very similar to the per PUCCH format. Once the DMRS bundling is enabled, then the RRC reconfiguration are need to turn-off this function, which means the UE would always work in the mode of DMRS bundling or not. Per UL BWP configuration would require a duplicated configurations for both DMRS bunded BWP and non-DMRS bundled BWP. Then the option 4 is slightly preferred. </w:t>
      </w:r>
    </w:p>
    <w:p>
      <w:pPr>
        <w:adjustRightInd w:val="0"/>
        <w:snapToGrid w:val="0"/>
        <w:spacing w:after="0"/>
        <w:rPr>
          <w:bCs/>
          <w:lang w:val="en-US" w:eastAsia="zh-CN"/>
        </w:rPr>
      </w:pPr>
    </w:p>
    <w:p>
      <w:pPr>
        <w:adjustRightInd w:val="0"/>
        <w:snapToGrid w:val="0"/>
        <w:spacing w:after="0"/>
        <w:rPr>
          <w:b/>
          <w:bCs w:val="0"/>
          <w:lang w:val="en-US" w:eastAsia="zh-CN"/>
        </w:rPr>
      </w:pPr>
      <w:r>
        <w:rPr>
          <w:b/>
          <w:bCs w:val="0"/>
          <w:lang w:val="en-US" w:eastAsia="zh-CN"/>
        </w:rPr>
        <w:t xml:space="preserve">Proposal </w:t>
      </w:r>
      <w:r>
        <w:rPr>
          <w:rFonts w:hint="eastAsia"/>
          <w:b/>
          <w:bCs w:val="0"/>
          <w:lang w:val="en-US" w:eastAsia="zh-CN"/>
        </w:rPr>
        <w:t>4</w:t>
      </w:r>
      <w:r>
        <w:rPr>
          <w:b/>
          <w:bCs w:val="0"/>
          <w:lang w:val="en-US" w:eastAsia="zh-CN"/>
        </w:rPr>
        <w:t>:</w:t>
      </w:r>
    </w:p>
    <w:p>
      <w:pPr>
        <w:adjustRightInd w:val="0"/>
        <w:snapToGrid w:val="0"/>
        <w:spacing w:after="0"/>
        <w:rPr>
          <w:b/>
          <w:lang w:val="en-US" w:eastAsia="zh-CN"/>
        </w:rPr>
      </w:pPr>
      <w:r>
        <w:rPr>
          <w:b/>
          <w:lang w:val="en-US" w:eastAsia="zh-CN"/>
        </w:rPr>
        <w:t>The option 4, per PUCCH resource configured DMRS bundling, is preferred, as this option could provide more flexibility to enable and un-enable the function.</w:t>
      </w:r>
    </w:p>
    <w:p>
      <w:pPr>
        <w:adjustRightInd w:val="0"/>
        <w:snapToGrid w:val="0"/>
        <w:spacing w:after="0"/>
        <w:rPr>
          <w:b/>
          <w:bCs w:val="0"/>
          <w:lang w:val="en-US" w:eastAsia="zh-CN"/>
        </w:rPr>
      </w:pPr>
    </w:p>
    <w:p>
      <w:pPr>
        <w:pStyle w:val="4"/>
        <w:numPr>
          <w:ilvl w:val="0"/>
          <w:numId w:val="0"/>
        </w:numPr>
        <w:snapToGrid w:val="0"/>
        <w:ind w:left="576" w:hanging="576"/>
        <w:rPr>
          <w:b/>
          <w:lang w:val="en-US" w:eastAsia="zh-CN"/>
        </w:rPr>
      </w:pPr>
      <w:r>
        <w:rPr>
          <w:lang w:val="en-US" w:eastAsia="zh-CN"/>
        </w:rPr>
        <w:t>2.</w:t>
      </w:r>
      <w:r>
        <w:rPr>
          <w:b w:val="0"/>
          <w:bCs w:val="0"/>
          <w:lang w:val="en-US" w:eastAsia="zh-CN"/>
        </w:rPr>
        <w:t>2.1</w:t>
      </w:r>
      <w:r>
        <w:rPr>
          <w:lang w:val="en-US" w:eastAsia="zh-CN"/>
        </w:rPr>
        <w:t xml:space="preserve"> Power control and TA</w:t>
      </w:r>
    </w:p>
    <w:p>
      <w:pPr>
        <w:adjustRightInd w:val="0"/>
        <w:snapToGrid w:val="0"/>
        <w:spacing w:after="0"/>
        <w:jc w:val="both"/>
        <w:rPr>
          <w:bCs/>
          <w:lang w:val="en-US" w:eastAsia="zh-CN"/>
        </w:rPr>
      </w:pPr>
      <w:r>
        <w:rPr>
          <w:b w:val="0"/>
          <w:bCs/>
          <w:lang w:val="en-US" w:eastAsia="zh-CN"/>
        </w:rPr>
        <w:t>The prerequisite for enabling joint channel estimation is that the UE should keep power consistency and phase continuity</w:t>
      </w:r>
      <w:r>
        <w:rPr>
          <w:bCs/>
          <w:lang w:val="en-US" w:eastAsia="zh-CN"/>
        </w:rPr>
        <w:t xml:space="preserve"> during the time domain window. The TA adjustments and the TPC occurs in the time domain window would violate the condition. </w:t>
      </w:r>
    </w:p>
    <w:p>
      <w:pPr>
        <w:adjustRightInd w:val="0"/>
        <w:snapToGrid w:val="0"/>
        <w:spacing w:after="0"/>
        <w:jc w:val="both"/>
        <w:rPr>
          <w:bCs/>
          <w:lang w:val="en-US" w:eastAsia="zh-CN"/>
        </w:rPr>
      </w:pPr>
      <w:r>
        <w:rPr>
          <w:bCs/>
          <w:lang w:val="en-US" w:eastAsia="zh-CN"/>
        </w:rPr>
        <w:t>As discussed in our companion paper in the JCE of PUSCH, the TA command should be ignored. And the TPC command could be accumulated within the time domain window but without taking effect. When the time domain window is closed, UEs could transmit in the updated power. This is the same issue for PUSCH JCE. PUCCH could reuse the conclusion from PUSCH JCE.</w:t>
      </w:r>
    </w:p>
    <w:p>
      <w:pPr>
        <w:adjustRightInd w:val="0"/>
        <w:snapToGrid w:val="0"/>
        <w:spacing w:after="0"/>
        <w:jc w:val="both"/>
        <w:rPr>
          <w:bCs/>
          <w:lang w:val="en-US" w:eastAsia="zh-CN"/>
        </w:rPr>
      </w:pPr>
    </w:p>
    <w:p>
      <w:pPr>
        <w:adjustRightInd w:val="0"/>
        <w:snapToGrid w:val="0"/>
        <w:spacing w:after="0"/>
        <w:rPr>
          <w:rFonts w:hint="default"/>
          <w:b/>
          <w:lang w:val="en-US" w:eastAsia="zh-CN"/>
        </w:rPr>
      </w:pPr>
      <w:r>
        <w:rPr>
          <w:rFonts w:hint="eastAsia"/>
          <w:b/>
          <w:lang w:eastAsia="zh-CN"/>
        </w:rPr>
        <w:t>Proposal</w:t>
      </w:r>
      <w:r>
        <w:rPr>
          <w:b/>
          <w:lang w:eastAsia="zh-CN"/>
        </w:rPr>
        <w:t xml:space="preserve"> </w:t>
      </w:r>
      <w:r>
        <w:rPr>
          <w:rFonts w:hint="eastAsia"/>
          <w:b/>
          <w:lang w:val="en-US" w:eastAsia="zh-CN"/>
        </w:rPr>
        <w:t>5：</w:t>
      </w:r>
    </w:p>
    <w:p>
      <w:pPr>
        <w:pStyle w:val="32"/>
        <w:numPr>
          <w:ilvl w:val="0"/>
          <w:numId w:val="8"/>
        </w:numPr>
        <w:adjustRightInd w:val="0"/>
        <w:snapToGrid w:val="0"/>
        <w:spacing w:after="0"/>
        <w:ind w:firstLineChars="0"/>
        <w:rPr>
          <w:b/>
          <w:lang w:eastAsia="zh-CN"/>
        </w:rPr>
      </w:pPr>
      <w:r>
        <w:rPr>
          <w:b/>
          <w:lang w:eastAsia="zh-CN"/>
        </w:rPr>
        <w:t xml:space="preserve">During the time domain window, </w:t>
      </w:r>
      <w:r>
        <w:rPr>
          <w:rFonts w:hint="eastAsia"/>
          <w:b/>
          <w:lang w:eastAsia="zh-CN"/>
        </w:rPr>
        <w:t>he</w:t>
      </w:r>
      <w:r>
        <w:rPr>
          <w:b/>
          <w:lang w:eastAsia="zh-CN"/>
        </w:rPr>
        <w:t xml:space="preserve"> </w:t>
      </w:r>
      <w:r>
        <w:rPr>
          <w:rFonts w:hint="eastAsia"/>
          <w:b/>
          <w:lang w:eastAsia="zh-CN"/>
        </w:rPr>
        <w:t>TA</w:t>
      </w:r>
      <w:r>
        <w:rPr>
          <w:b/>
          <w:lang w:eastAsia="zh-CN"/>
        </w:rPr>
        <w:t xml:space="preserve"> </w:t>
      </w:r>
      <w:r>
        <w:rPr>
          <w:rFonts w:hint="eastAsia"/>
          <w:b/>
          <w:lang w:eastAsia="zh-CN"/>
        </w:rPr>
        <w:t>command</w:t>
      </w:r>
      <w:r>
        <w:rPr>
          <w:b/>
          <w:lang w:eastAsia="zh-CN"/>
        </w:rPr>
        <w:t xml:space="preserve"> could be ignored.</w:t>
      </w:r>
    </w:p>
    <w:p>
      <w:pPr>
        <w:pStyle w:val="32"/>
        <w:numPr>
          <w:ilvl w:val="0"/>
          <w:numId w:val="8"/>
        </w:numPr>
        <w:adjustRightInd w:val="0"/>
        <w:snapToGrid w:val="0"/>
        <w:spacing w:after="0"/>
        <w:ind w:firstLineChars="0"/>
        <w:rPr>
          <w:b/>
          <w:lang w:eastAsia="zh-CN"/>
        </w:rPr>
      </w:pPr>
      <w:r>
        <w:rPr>
          <w:b/>
          <w:lang w:eastAsia="zh-CN"/>
        </w:rPr>
        <w:t>The TPC command could be accumulated but not take into practice.</w:t>
      </w:r>
      <w:r>
        <w:t xml:space="preserve"> </w:t>
      </w:r>
      <w:r>
        <w:rPr>
          <w:b/>
          <w:lang w:eastAsia="zh-CN"/>
        </w:rPr>
        <w:t>When the time domain window is closed, UEs could transmit in the updated power.</w:t>
      </w:r>
    </w:p>
    <w:p>
      <w:pPr>
        <w:adjustRightInd w:val="0"/>
        <w:snapToGrid w:val="0"/>
        <w:spacing w:after="0"/>
        <w:rPr>
          <w:b/>
          <w:lang w:eastAsia="zh-CN"/>
        </w:rPr>
      </w:pPr>
    </w:p>
    <w:p>
      <w:pPr>
        <w:adjustRightInd w:val="0"/>
        <w:snapToGrid w:val="0"/>
        <w:spacing w:after="0"/>
        <w:rPr>
          <w:rFonts w:hint="default"/>
          <w:b/>
          <w:lang w:val="en-US" w:eastAsia="zh-CN"/>
        </w:rPr>
      </w:pPr>
      <w:r>
        <w:rPr>
          <w:b/>
          <w:lang w:eastAsia="zh-CN"/>
        </w:rPr>
        <w:t xml:space="preserve">Proposal </w:t>
      </w:r>
      <w:r>
        <w:rPr>
          <w:rFonts w:hint="eastAsia"/>
          <w:b/>
          <w:lang w:val="en-US" w:eastAsia="zh-CN"/>
        </w:rPr>
        <w:t>6：</w:t>
      </w:r>
    </w:p>
    <w:p>
      <w:pPr>
        <w:adjustRightInd w:val="0"/>
        <w:snapToGrid w:val="0"/>
        <w:spacing w:after="0"/>
        <w:rPr>
          <w:b/>
          <w:lang w:eastAsia="zh-CN"/>
        </w:rPr>
      </w:pPr>
      <w:r>
        <w:rPr>
          <w:b/>
          <w:lang w:eastAsia="zh-CN"/>
        </w:rPr>
        <w:t>DMRS bundling across PUCCH repetition could reuse the conclusion of PUSCH JCE for the TA updates and TPC commands.</w:t>
      </w:r>
    </w:p>
    <w:p>
      <w:pPr>
        <w:adjustRightInd w:val="0"/>
        <w:snapToGrid w:val="0"/>
        <w:spacing w:after="0"/>
        <w:rPr>
          <w:rFonts w:hint="eastAsia"/>
          <w:b/>
          <w:lang w:eastAsia="zh-CN"/>
        </w:rPr>
      </w:pP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lang w:val="en-US" w:eastAsia="zh-CN"/>
        </w:rPr>
      </w:pPr>
      <w:r>
        <w:rPr>
          <w:lang w:val="en-US" w:eastAsia="zh-CN"/>
        </w:rPr>
        <w:t xml:space="preserve">In this contribution, we provide our views on </w:t>
      </w:r>
      <w:r>
        <w:rPr>
          <w:rFonts w:hint="eastAsia"/>
          <w:lang w:val="en-US" w:eastAsia="zh-CN"/>
        </w:rPr>
        <w:t>the PUCCH enhancements</w:t>
      </w:r>
      <w:r>
        <w:rPr>
          <w:lang w:val="en-US" w:eastAsia="zh-CN"/>
        </w:rPr>
        <w:t>. The proposals are as below.</w:t>
      </w:r>
    </w:p>
    <w:p>
      <w:pPr>
        <w:adjustRightInd w:val="0"/>
        <w:snapToGrid w:val="0"/>
        <w:spacing w:after="0"/>
        <w:rPr>
          <w:b/>
          <w:lang w:val="en-US" w:eastAsia="zh-CN"/>
        </w:rPr>
      </w:pPr>
    </w:p>
    <w:p>
      <w:pPr>
        <w:adjustRightInd w:val="0"/>
        <w:snapToGrid w:val="0"/>
        <w:spacing w:after="0"/>
        <w:jc w:val="both"/>
        <w:rPr>
          <w:b/>
          <w:bCs/>
          <w:lang w:val="en-US" w:eastAsia="zh-CN"/>
        </w:rPr>
      </w:pPr>
      <w:r>
        <w:rPr>
          <w:b/>
          <w:bCs/>
          <w:lang w:val="en-US" w:eastAsia="zh-CN"/>
        </w:rPr>
        <w:t>Observation 1:</w:t>
      </w:r>
    </w:p>
    <w:p>
      <w:pPr>
        <w:adjustRightInd w:val="0"/>
        <w:snapToGrid w:val="0"/>
        <w:spacing w:after="0"/>
        <w:jc w:val="both"/>
        <w:rPr>
          <w:b/>
          <w:bCs/>
          <w:lang w:val="en-US" w:eastAsia="zh-CN"/>
        </w:rPr>
      </w:pPr>
      <w:r>
        <w:rPr>
          <w:b/>
          <w:bCs/>
          <w:lang w:val="en-US" w:eastAsia="zh-CN"/>
        </w:rPr>
        <w:t>I</w:t>
      </w:r>
      <w:r>
        <w:rPr>
          <w:rFonts w:hint="eastAsia"/>
          <w:b/>
          <w:bCs/>
          <w:lang w:val="en-US" w:eastAsia="zh-CN"/>
        </w:rPr>
        <w:t>f</w:t>
      </w:r>
      <w:r>
        <w:rPr>
          <w:b/>
          <w:bCs/>
          <w:lang w:val="en-US" w:eastAsia="zh-CN"/>
        </w:rPr>
        <w:t xml:space="preserve"> the staring CCE index is used to indicate the repetition factors, there would be conflicts for the UE who share a same repetition factor.</w:t>
      </w:r>
    </w:p>
    <w:p>
      <w:pPr>
        <w:adjustRightInd w:val="0"/>
        <w:snapToGrid w:val="0"/>
        <w:spacing w:after="0"/>
        <w:jc w:val="both"/>
        <w:rPr>
          <w:b/>
          <w:bCs/>
          <w:lang w:val="en-US" w:eastAsia="zh-CN"/>
        </w:rPr>
      </w:pPr>
    </w:p>
    <w:p>
      <w:pPr>
        <w:adjustRightInd w:val="0"/>
        <w:snapToGrid w:val="0"/>
        <w:spacing w:after="0"/>
        <w:jc w:val="both"/>
        <w:rPr>
          <w:b/>
          <w:bCs/>
          <w:lang w:val="en-US" w:eastAsia="zh-CN"/>
        </w:rPr>
      </w:pPr>
      <w:r>
        <w:rPr>
          <w:b/>
          <w:bCs/>
          <w:lang w:val="en-US" w:eastAsia="zh-CN"/>
        </w:rPr>
        <w:t>Observation 2:</w:t>
      </w:r>
    </w:p>
    <w:p>
      <w:pPr>
        <w:adjustRightInd w:val="0"/>
        <w:snapToGrid w:val="0"/>
        <w:spacing w:after="0"/>
        <w:jc w:val="both"/>
        <w:rPr>
          <w:b/>
          <w:bCs/>
          <w:lang w:val="en-US" w:eastAsia="zh-CN"/>
        </w:rPr>
      </w:pPr>
      <w:r>
        <w:rPr>
          <w:b/>
          <w:bCs/>
          <w:lang w:val="en-US" w:eastAsia="zh-CN"/>
        </w:rPr>
        <w:t>The staring CCE index would be limited due to high aggregation level.</w:t>
      </w:r>
    </w:p>
    <w:p>
      <w:pPr>
        <w:adjustRightInd w:val="0"/>
        <w:snapToGrid w:val="0"/>
        <w:spacing w:after="0"/>
        <w:rPr>
          <w:b/>
          <w:lang w:val="en-GB" w:eastAsia="zh-CN"/>
        </w:rPr>
      </w:pPr>
    </w:p>
    <w:p>
      <w:pPr>
        <w:adjustRightInd w:val="0"/>
        <w:snapToGrid w:val="0"/>
        <w:spacing w:after="0"/>
        <w:jc w:val="both"/>
        <w:rPr>
          <w:b/>
          <w:bCs/>
          <w:lang w:val="en-US" w:eastAsia="zh-CN"/>
        </w:rPr>
      </w:pPr>
      <w:r>
        <w:rPr>
          <w:b/>
          <w:bCs/>
          <w:lang w:val="en-US" w:eastAsia="zh-CN"/>
        </w:rPr>
        <w:t xml:space="preserve">Proposal 1: </w:t>
      </w:r>
    </w:p>
    <w:p>
      <w:pPr>
        <w:adjustRightInd w:val="0"/>
        <w:snapToGrid w:val="0"/>
        <w:spacing w:after="0"/>
        <w:jc w:val="both"/>
        <w:rPr>
          <w:b/>
          <w:bCs/>
          <w:lang w:val="en-US" w:eastAsia="zh-CN"/>
        </w:rPr>
      </w:pPr>
      <w:r>
        <w:rPr>
          <w:b/>
          <w:bCs/>
          <w:lang w:val="en-US" w:eastAsia="zh-CN"/>
        </w:rPr>
        <w:t>The mechanism to indicate no repetitions should be discussed for PUCCH. Both including the repetition factor 1 into the set and additional indication could be considered.</w:t>
      </w:r>
    </w:p>
    <w:p>
      <w:pPr>
        <w:adjustRightInd w:val="0"/>
        <w:snapToGrid w:val="0"/>
        <w:spacing w:after="0"/>
        <w:jc w:val="both"/>
        <w:rPr>
          <w:b/>
          <w:bCs/>
          <w:lang w:val="en-US" w:eastAsia="zh-CN"/>
        </w:rPr>
      </w:pPr>
      <w:r>
        <w:rPr>
          <w:b/>
          <w:bCs/>
          <w:lang w:val="en-US" w:eastAsia="zh-CN"/>
        </w:rPr>
        <w:t xml:space="preserve">Proposal </w:t>
      </w:r>
      <w:r>
        <w:rPr>
          <w:rFonts w:hint="eastAsia"/>
          <w:b/>
          <w:bCs/>
          <w:lang w:val="en-US" w:eastAsia="zh-CN"/>
        </w:rPr>
        <w:t>2</w:t>
      </w:r>
      <w:r>
        <w:rPr>
          <w:b/>
          <w:bCs/>
          <w:lang w:val="en-US" w:eastAsia="zh-CN"/>
        </w:rPr>
        <w:t xml:space="preserve">: </w:t>
      </w:r>
    </w:p>
    <w:p>
      <w:pPr>
        <w:adjustRightInd w:val="0"/>
        <w:snapToGrid w:val="0"/>
        <w:spacing w:after="0"/>
        <w:jc w:val="both"/>
        <w:rPr>
          <w:lang w:val="en-US" w:eastAsia="zh-CN"/>
        </w:rPr>
      </w:pPr>
      <w:r>
        <w:rPr>
          <w:b/>
          <w:bCs/>
          <w:lang w:val="en-US" w:eastAsia="zh-CN"/>
        </w:rPr>
        <w:t>Currently only PUCCH format 1, 3, 4 should be supported. Format 0 and 2 needs more discussion and clarification.</w:t>
      </w:r>
    </w:p>
    <w:p>
      <w:pPr>
        <w:adjustRightInd w:val="0"/>
        <w:snapToGrid w:val="0"/>
        <w:spacing w:after="0"/>
        <w:jc w:val="both"/>
        <w:rPr>
          <w:b/>
          <w:bCs/>
          <w:lang w:val="en-US" w:eastAsia="zh-CN"/>
        </w:rPr>
      </w:pPr>
    </w:p>
    <w:p>
      <w:pPr>
        <w:adjustRightInd w:val="0"/>
        <w:snapToGrid w:val="0"/>
        <w:spacing w:after="0"/>
        <w:rPr>
          <w:b/>
          <w:lang w:val="en-US" w:eastAsia="zh-CN"/>
        </w:rPr>
      </w:pPr>
      <w:r>
        <w:rPr>
          <w:b/>
          <w:lang w:val="en-US" w:eastAsia="zh-CN"/>
        </w:rPr>
        <w:t xml:space="preserve">Proposal </w:t>
      </w:r>
      <w:r>
        <w:rPr>
          <w:rFonts w:hint="eastAsia"/>
          <w:b/>
          <w:lang w:val="en-US" w:eastAsia="zh-CN"/>
        </w:rPr>
        <w:t>3</w:t>
      </w:r>
      <w:r>
        <w:rPr>
          <w:b/>
          <w:lang w:val="en-US" w:eastAsia="zh-CN"/>
        </w:rPr>
        <w:t>:</w:t>
      </w:r>
    </w:p>
    <w:p>
      <w:pPr>
        <w:adjustRightInd w:val="0"/>
        <w:snapToGrid w:val="0"/>
        <w:spacing w:after="0"/>
        <w:rPr>
          <w:b/>
          <w:lang w:val="en-US" w:eastAsia="zh-CN"/>
        </w:rPr>
      </w:pPr>
      <w:r>
        <w:rPr>
          <w:b/>
          <w:lang w:val="en-US" w:eastAsia="zh-CN"/>
        </w:rPr>
        <w:t xml:space="preserve">For the design of frequency hopping, the DMRS bundling of PUSCH should could be the starting point of PUCCH. </w:t>
      </w:r>
    </w:p>
    <w:p>
      <w:pPr>
        <w:adjustRightInd w:val="0"/>
        <w:snapToGrid w:val="0"/>
        <w:spacing w:after="0"/>
        <w:rPr>
          <w:b/>
          <w:lang w:val="en-GB" w:eastAsia="zh-CN"/>
        </w:rPr>
      </w:pPr>
    </w:p>
    <w:p>
      <w:pPr>
        <w:adjustRightInd w:val="0"/>
        <w:snapToGrid w:val="0"/>
        <w:spacing w:after="0"/>
        <w:rPr>
          <w:b/>
          <w:bCs w:val="0"/>
          <w:lang w:val="en-US" w:eastAsia="zh-CN"/>
        </w:rPr>
      </w:pPr>
      <w:r>
        <w:rPr>
          <w:b/>
          <w:bCs w:val="0"/>
          <w:lang w:val="en-US" w:eastAsia="zh-CN"/>
        </w:rPr>
        <w:t xml:space="preserve">Proposal </w:t>
      </w:r>
      <w:r>
        <w:rPr>
          <w:rFonts w:hint="eastAsia"/>
          <w:b/>
          <w:bCs w:val="0"/>
          <w:lang w:val="en-US" w:eastAsia="zh-CN"/>
        </w:rPr>
        <w:t>4</w:t>
      </w:r>
      <w:r>
        <w:rPr>
          <w:b/>
          <w:bCs w:val="0"/>
          <w:lang w:val="en-US" w:eastAsia="zh-CN"/>
        </w:rPr>
        <w:t>:</w:t>
      </w:r>
    </w:p>
    <w:p>
      <w:pPr>
        <w:adjustRightInd w:val="0"/>
        <w:snapToGrid w:val="0"/>
        <w:spacing w:after="0"/>
        <w:rPr>
          <w:b/>
          <w:lang w:val="en-US" w:eastAsia="zh-CN"/>
        </w:rPr>
      </w:pPr>
      <w:r>
        <w:rPr>
          <w:b/>
          <w:lang w:val="en-US" w:eastAsia="zh-CN"/>
        </w:rPr>
        <w:t>The option 4, per PUCCH resource configured DMRS bundling, is preferred, as this option could provide more flexibility to enable and un-enable the function.</w:t>
      </w:r>
    </w:p>
    <w:p>
      <w:pPr>
        <w:adjustRightInd w:val="0"/>
        <w:snapToGrid w:val="0"/>
        <w:spacing w:after="0"/>
        <w:rPr>
          <w:b/>
          <w:lang w:val="en-GB" w:eastAsia="zh-CN"/>
        </w:rPr>
      </w:pPr>
    </w:p>
    <w:p>
      <w:pPr>
        <w:adjustRightInd w:val="0"/>
        <w:snapToGrid w:val="0"/>
        <w:spacing w:after="0"/>
        <w:rPr>
          <w:rFonts w:hint="default"/>
          <w:b/>
          <w:lang w:val="en-US" w:eastAsia="zh-CN"/>
        </w:rPr>
      </w:pPr>
      <w:r>
        <w:rPr>
          <w:rFonts w:hint="eastAsia"/>
          <w:b/>
          <w:lang w:eastAsia="zh-CN"/>
        </w:rPr>
        <w:t>Proposal</w:t>
      </w:r>
      <w:r>
        <w:rPr>
          <w:b/>
          <w:lang w:eastAsia="zh-CN"/>
        </w:rPr>
        <w:t xml:space="preserve"> </w:t>
      </w:r>
      <w:r>
        <w:rPr>
          <w:rFonts w:hint="eastAsia"/>
          <w:b/>
          <w:lang w:val="en-US" w:eastAsia="zh-CN"/>
        </w:rPr>
        <w:t>5：</w:t>
      </w:r>
    </w:p>
    <w:p>
      <w:pPr>
        <w:pStyle w:val="32"/>
        <w:numPr>
          <w:ilvl w:val="0"/>
          <w:numId w:val="8"/>
        </w:numPr>
        <w:adjustRightInd w:val="0"/>
        <w:snapToGrid w:val="0"/>
        <w:spacing w:after="0"/>
        <w:ind w:firstLineChars="0"/>
        <w:rPr>
          <w:b/>
          <w:lang w:eastAsia="zh-CN"/>
        </w:rPr>
      </w:pPr>
      <w:r>
        <w:rPr>
          <w:b/>
          <w:lang w:eastAsia="zh-CN"/>
        </w:rPr>
        <w:t xml:space="preserve">During the time domain window, </w:t>
      </w:r>
      <w:r>
        <w:rPr>
          <w:rFonts w:hint="eastAsia"/>
          <w:b/>
          <w:lang w:eastAsia="zh-CN"/>
        </w:rPr>
        <w:t>he</w:t>
      </w:r>
      <w:r>
        <w:rPr>
          <w:b/>
          <w:lang w:eastAsia="zh-CN"/>
        </w:rPr>
        <w:t xml:space="preserve"> </w:t>
      </w:r>
      <w:r>
        <w:rPr>
          <w:rFonts w:hint="eastAsia"/>
          <w:b/>
          <w:lang w:eastAsia="zh-CN"/>
        </w:rPr>
        <w:t>TA</w:t>
      </w:r>
      <w:r>
        <w:rPr>
          <w:b/>
          <w:lang w:eastAsia="zh-CN"/>
        </w:rPr>
        <w:t xml:space="preserve"> </w:t>
      </w:r>
      <w:r>
        <w:rPr>
          <w:rFonts w:hint="eastAsia"/>
          <w:b/>
          <w:lang w:eastAsia="zh-CN"/>
        </w:rPr>
        <w:t>command</w:t>
      </w:r>
      <w:r>
        <w:rPr>
          <w:b/>
          <w:lang w:eastAsia="zh-CN"/>
        </w:rPr>
        <w:t xml:space="preserve"> could be ignored.</w:t>
      </w:r>
    </w:p>
    <w:p>
      <w:pPr>
        <w:pStyle w:val="32"/>
        <w:numPr>
          <w:ilvl w:val="0"/>
          <w:numId w:val="8"/>
        </w:numPr>
        <w:adjustRightInd w:val="0"/>
        <w:snapToGrid w:val="0"/>
        <w:spacing w:after="0"/>
        <w:ind w:firstLineChars="0"/>
        <w:rPr>
          <w:b/>
          <w:lang w:eastAsia="zh-CN"/>
        </w:rPr>
      </w:pPr>
      <w:r>
        <w:rPr>
          <w:b/>
          <w:lang w:eastAsia="zh-CN"/>
        </w:rPr>
        <w:t>The TPC command could be accumulated but not take into practice.</w:t>
      </w:r>
      <w:r>
        <w:t xml:space="preserve"> </w:t>
      </w:r>
      <w:r>
        <w:rPr>
          <w:b/>
          <w:lang w:eastAsia="zh-CN"/>
        </w:rPr>
        <w:t>When the time domain window is closed, UEs could transmit in the updated power.</w:t>
      </w:r>
    </w:p>
    <w:p>
      <w:pPr>
        <w:adjustRightInd w:val="0"/>
        <w:snapToGrid w:val="0"/>
        <w:spacing w:after="0"/>
        <w:rPr>
          <w:b/>
          <w:lang w:eastAsia="zh-CN"/>
        </w:rPr>
      </w:pPr>
    </w:p>
    <w:p>
      <w:pPr>
        <w:adjustRightInd w:val="0"/>
        <w:snapToGrid w:val="0"/>
        <w:spacing w:after="0"/>
        <w:rPr>
          <w:rFonts w:hint="default"/>
          <w:b/>
          <w:lang w:val="en-US" w:eastAsia="zh-CN"/>
        </w:rPr>
      </w:pPr>
      <w:r>
        <w:rPr>
          <w:b/>
          <w:lang w:eastAsia="zh-CN"/>
        </w:rPr>
        <w:t xml:space="preserve">Proposal </w:t>
      </w:r>
      <w:r>
        <w:rPr>
          <w:rFonts w:hint="eastAsia"/>
          <w:b/>
          <w:lang w:val="en-US" w:eastAsia="zh-CN"/>
        </w:rPr>
        <w:t>6：</w:t>
      </w:r>
    </w:p>
    <w:p>
      <w:pPr>
        <w:adjustRightInd w:val="0"/>
        <w:snapToGrid w:val="0"/>
        <w:spacing w:after="0"/>
        <w:rPr>
          <w:b/>
          <w:lang w:eastAsia="zh-CN"/>
        </w:rPr>
      </w:pPr>
      <w:r>
        <w:rPr>
          <w:b/>
          <w:lang w:eastAsia="zh-CN"/>
        </w:rPr>
        <w:t>DMRS bundling across PUCCH repetition could reuse the conclusion of PUSCH JCE for the TA updates and TPC commands.</w:t>
      </w:r>
    </w:p>
    <w:p>
      <w:pPr>
        <w:adjustRightInd w:val="0"/>
        <w:snapToGrid w:val="0"/>
        <w:spacing w:after="0"/>
        <w:rPr>
          <w:b/>
          <w:lang w:val="en-GB" w:eastAsia="zh-CN"/>
        </w:rPr>
      </w:pPr>
      <w:bookmarkStart w:id="1" w:name="_GoBack"/>
      <w:bookmarkEnd w:id="1"/>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numPr>
          <w:ilvl w:val="0"/>
          <w:numId w:val="0"/>
        </w:numPr>
        <w:ind w:left="100" w:leftChars="50"/>
      </w:pPr>
      <w:r>
        <w:rPr>
          <w:rFonts w:hint="eastAsia"/>
          <w:iCs/>
          <w:lang w:eastAsia="zh-CN"/>
        </w:rPr>
        <w:t>[</w:t>
      </w:r>
      <w:r>
        <w:rPr>
          <w:iCs/>
          <w:lang w:eastAsia="zh-CN"/>
        </w:rPr>
        <w:t>1</w:t>
      </w:r>
      <w:r>
        <w:rPr>
          <w:rFonts w:hint="eastAsia"/>
          <w:iCs/>
          <w:lang w:eastAsia="zh-CN"/>
        </w:rPr>
        <w:t>]</w:t>
      </w:r>
      <w:r>
        <w:rPr>
          <w:iCs/>
          <w:lang w:eastAsia="zh-CN"/>
        </w:rPr>
        <w:t xml:space="preserve"> </w:t>
      </w:r>
      <w:r>
        <w:t>Draft Report of 3GPP TSG RAN WG1 #10</w:t>
      </w:r>
      <w:r>
        <w:rPr>
          <w:rFonts w:hint="eastAsia"/>
          <w:lang w:eastAsia="zh-CN"/>
        </w:rPr>
        <w:t>6</w:t>
      </w:r>
      <w:r>
        <w:t xml:space="preserve">e, e-Meeting, </w:t>
      </w:r>
      <w:r>
        <w:rPr>
          <w:rFonts w:hint="eastAsia"/>
          <w:lang w:eastAsia="zh-CN"/>
        </w:rPr>
        <w:t>16th May - 27th August</w:t>
      </w:r>
      <w:r>
        <w:t xml:space="preserve"> 2021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66484"/>
    <w:multiLevelType w:val="multilevel"/>
    <w:tmpl w:val="0A866484"/>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390174"/>
    <w:multiLevelType w:val="multilevel"/>
    <w:tmpl w:val="183901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24EA704E"/>
    <w:multiLevelType w:val="multilevel"/>
    <w:tmpl w:val="24EA704E"/>
    <w:lvl w:ilvl="0" w:tentative="0">
      <w:start w:val="1"/>
      <w:numFmt w:val="bullet"/>
      <w:lvlText w:val=""/>
      <w:lvlJc w:val="left"/>
      <w:pPr>
        <w:ind w:left="420" w:hanging="360"/>
      </w:pPr>
      <w:rPr>
        <w:rFonts w:hint="default" w:ascii="Symbol" w:hAnsi="Symbol"/>
      </w:rPr>
    </w:lvl>
    <w:lvl w:ilvl="1" w:tentative="0">
      <w:start w:val="1"/>
      <w:numFmt w:val="bullet"/>
      <w:lvlText w:val="o"/>
      <w:lvlJc w:val="left"/>
      <w:pPr>
        <w:ind w:left="1140" w:hanging="360"/>
      </w:pPr>
      <w:rPr>
        <w:rFonts w:hint="default" w:ascii="Courier New" w:hAnsi="Courier New" w:cs="Courier New"/>
      </w:rPr>
    </w:lvl>
    <w:lvl w:ilvl="2" w:tentative="0">
      <w:start w:val="1"/>
      <w:numFmt w:val="bullet"/>
      <w:lvlText w:val=""/>
      <w:lvlJc w:val="left"/>
      <w:pPr>
        <w:ind w:left="1860" w:hanging="360"/>
      </w:pPr>
      <w:rPr>
        <w:rFonts w:hint="default" w:ascii="Wingdings" w:hAnsi="Wingdings"/>
      </w:rPr>
    </w:lvl>
    <w:lvl w:ilvl="3" w:tentative="0">
      <w:start w:val="1"/>
      <w:numFmt w:val="bullet"/>
      <w:lvlText w:val=""/>
      <w:lvlJc w:val="left"/>
      <w:pPr>
        <w:ind w:left="2580" w:hanging="360"/>
      </w:pPr>
      <w:rPr>
        <w:rFonts w:hint="default" w:ascii="Symbol" w:hAnsi="Symbol"/>
      </w:rPr>
    </w:lvl>
    <w:lvl w:ilvl="4" w:tentative="0">
      <w:start w:val="1"/>
      <w:numFmt w:val="bullet"/>
      <w:lvlText w:val="o"/>
      <w:lvlJc w:val="left"/>
      <w:pPr>
        <w:ind w:left="3300" w:hanging="360"/>
      </w:pPr>
      <w:rPr>
        <w:rFonts w:hint="default" w:ascii="Courier New" w:hAnsi="Courier New" w:cs="Courier New"/>
      </w:rPr>
    </w:lvl>
    <w:lvl w:ilvl="5" w:tentative="0">
      <w:start w:val="1"/>
      <w:numFmt w:val="bullet"/>
      <w:lvlText w:val=""/>
      <w:lvlJc w:val="left"/>
      <w:pPr>
        <w:ind w:left="4020" w:hanging="360"/>
      </w:pPr>
      <w:rPr>
        <w:rFonts w:hint="default" w:ascii="Wingdings" w:hAnsi="Wingdings"/>
      </w:rPr>
    </w:lvl>
    <w:lvl w:ilvl="6" w:tentative="0">
      <w:start w:val="1"/>
      <w:numFmt w:val="bullet"/>
      <w:lvlText w:val=""/>
      <w:lvlJc w:val="left"/>
      <w:pPr>
        <w:ind w:left="4740" w:hanging="360"/>
      </w:pPr>
      <w:rPr>
        <w:rFonts w:hint="default" w:ascii="Symbol" w:hAnsi="Symbol"/>
      </w:rPr>
    </w:lvl>
    <w:lvl w:ilvl="7" w:tentative="0">
      <w:start w:val="1"/>
      <w:numFmt w:val="bullet"/>
      <w:lvlText w:val="o"/>
      <w:lvlJc w:val="left"/>
      <w:pPr>
        <w:ind w:left="5460" w:hanging="360"/>
      </w:pPr>
      <w:rPr>
        <w:rFonts w:hint="default" w:ascii="Courier New" w:hAnsi="Courier New" w:cs="Courier New"/>
      </w:rPr>
    </w:lvl>
    <w:lvl w:ilvl="8" w:tentative="0">
      <w:start w:val="1"/>
      <w:numFmt w:val="bullet"/>
      <w:lvlText w:val=""/>
      <w:lvlJc w:val="left"/>
      <w:pPr>
        <w:ind w:left="6180" w:hanging="360"/>
      </w:pPr>
      <w:rPr>
        <w:rFonts w:hint="default" w:ascii="Wingdings" w:hAnsi="Wingdings"/>
      </w:rPr>
    </w:lvl>
  </w:abstractNum>
  <w:abstractNum w:abstractNumId="4">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5">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6">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2ED5209"/>
    <w:multiLevelType w:val="multilevel"/>
    <w:tmpl w:val="42ED52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5"/>
  </w:num>
  <w:num w:numId="4">
    <w:abstractNumId w:val="6"/>
  </w:num>
  <w:num w:numId="5">
    <w:abstractNumId w:val="3"/>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274"/>
    <w:rsid w:val="00001B6D"/>
    <w:rsid w:val="00001D77"/>
    <w:rsid w:val="000023C9"/>
    <w:rsid w:val="00002D56"/>
    <w:rsid w:val="000048A3"/>
    <w:rsid w:val="00005003"/>
    <w:rsid w:val="00006265"/>
    <w:rsid w:val="000065FB"/>
    <w:rsid w:val="00011504"/>
    <w:rsid w:val="000116D2"/>
    <w:rsid w:val="0001240C"/>
    <w:rsid w:val="0001395D"/>
    <w:rsid w:val="00013C39"/>
    <w:rsid w:val="00013FBD"/>
    <w:rsid w:val="00014665"/>
    <w:rsid w:val="00014D5E"/>
    <w:rsid w:val="00014E69"/>
    <w:rsid w:val="000162B7"/>
    <w:rsid w:val="00017312"/>
    <w:rsid w:val="00017CA2"/>
    <w:rsid w:val="00017E73"/>
    <w:rsid w:val="00017F0D"/>
    <w:rsid w:val="00020C55"/>
    <w:rsid w:val="00020CE6"/>
    <w:rsid w:val="000212BC"/>
    <w:rsid w:val="000216E8"/>
    <w:rsid w:val="00021898"/>
    <w:rsid w:val="00021FE7"/>
    <w:rsid w:val="00022F90"/>
    <w:rsid w:val="0002407C"/>
    <w:rsid w:val="0002469F"/>
    <w:rsid w:val="00024BE8"/>
    <w:rsid w:val="00024C58"/>
    <w:rsid w:val="00025C5F"/>
    <w:rsid w:val="00025E41"/>
    <w:rsid w:val="0002635F"/>
    <w:rsid w:val="000264AC"/>
    <w:rsid w:val="000266ED"/>
    <w:rsid w:val="000322C5"/>
    <w:rsid w:val="000326A3"/>
    <w:rsid w:val="00032F5C"/>
    <w:rsid w:val="0003315C"/>
    <w:rsid w:val="00033510"/>
    <w:rsid w:val="00033547"/>
    <w:rsid w:val="000336C0"/>
    <w:rsid w:val="00034DE3"/>
    <w:rsid w:val="00035414"/>
    <w:rsid w:val="00036787"/>
    <w:rsid w:val="0003697F"/>
    <w:rsid w:val="00036B87"/>
    <w:rsid w:val="00037502"/>
    <w:rsid w:val="0003759B"/>
    <w:rsid w:val="00037F4A"/>
    <w:rsid w:val="00040011"/>
    <w:rsid w:val="000406EF"/>
    <w:rsid w:val="0004103D"/>
    <w:rsid w:val="000413CE"/>
    <w:rsid w:val="00041E5B"/>
    <w:rsid w:val="00041E5C"/>
    <w:rsid w:val="000424B5"/>
    <w:rsid w:val="00043409"/>
    <w:rsid w:val="00043FDC"/>
    <w:rsid w:val="000445CD"/>
    <w:rsid w:val="0004471B"/>
    <w:rsid w:val="0004512C"/>
    <w:rsid w:val="00046936"/>
    <w:rsid w:val="00047120"/>
    <w:rsid w:val="00047628"/>
    <w:rsid w:val="00052BB3"/>
    <w:rsid w:val="00053B4C"/>
    <w:rsid w:val="00053C6B"/>
    <w:rsid w:val="0005453E"/>
    <w:rsid w:val="000565E7"/>
    <w:rsid w:val="00057A73"/>
    <w:rsid w:val="0006073A"/>
    <w:rsid w:val="0006126A"/>
    <w:rsid w:val="00063E84"/>
    <w:rsid w:val="000647FC"/>
    <w:rsid w:val="00064958"/>
    <w:rsid w:val="00064E2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5AB0"/>
    <w:rsid w:val="00085E03"/>
    <w:rsid w:val="000866A1"/>
    <w:rsid w:val="000873FF"/>
    <w:rsid w:val="00090246"/>
    <w:rsid w:val="00090FE6"/>
    <w:rsid w:val="00091B8E"/>
    <w:rsid w:val="00091E6B"/>
    <w:rsid w:val="00092456"/>
    <w:rsid w:val="00093769"/>
    <w:rsid w:val="00095027"/>
    <w:rsid w:val="0009684F"/>
    <w:rsid w:val="00096A08"/>
    <w:rsid w:val="00097234"/>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439"/>
    <w:rsid w:val="000E0840"/>
    <w:rsid w:val="000E0E67"/>
    <w:rsid w:val="000E2BCE"/>
    <w:rsid w:val="000E3001"/>
    <w:rsid w:val="000E3620"/>
    <w:rsid w:val="000E5076"/>
    <w:rsid w:val="000E5479"/>
    <w:rsid w:val="000E5A9B"/>
    <w:rsid w:val="000E5BC7"/>
    <w:rsid w:val="000E5D87"/>
    <w:rsid w:val="000E5EE0"/>
    <w:rsid w:val="000E64F2"/>
    <w:rsid w:val="000E7379"/>
    <w:rsid w:val="000E7DF6"/>
    <w:rsid w:val="000F113E"/>
    <w:rsid w:val="000F568D"/>
    <w:rsid w:val="000F59A4"/>
    <w:rsid w:val="000F679C"/>
    <w:rsid w:val="00100191"/>
    <w:rsid w:val="00100380"/>
    <w:rsid w:val="00100592"/>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150"/>
    <w:rsid w:val="00123453"/>
    <w:rsid w:val="001241B8"/>
    <w:rsid w:val="00124DE3"/>
    <w:rsid w:val="00125E63"/>
    <w:rsid w:val="00126402"/>
    <w:rsid w:val="00126C1B"/>
    <w:rsid w:val="00127DF1"/>
    <w:rsid w:val="001300BA"/>
    <w:rsid w:val="001303C9"/>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1421"/>
    <w:rsid w:val="001516C8"/>
    <w:rsid w:val="00152EB1"/>
    <w:rsid w:val="001538AA"/>
    <w:rsid w:val="00153D6A"/>
    <w:rsid w:val="00153DF6"/>
    <w:rsid w:val="00155BDD"/>
    <w:rsid w:val="00155C03"/>
    <w:rsid w:val="001571F4"/>
    <w:rsid w:val="001579E1"/>
    <w:rsid w:val="00157B15"/>
    <w:rsid w:val="001613E2"/>
    <w:rsid w:val="00161EFD"/>
    <w:rsid w:val="00162DD1"/>
    <w:rsid w:val="001638DB"/>
    <w:rsid w:val="00164096"/>
    <w:rsid w:val="001652A7"/>
    <w:rsid w:val="001655B1"/>
    <w:rsid w:val="00166B8F"/>
    <w:rsid w:val="00166E88"/>
    <w:rsid w:val="00170E16"/>
    <w:rsid w:val="0017103A"/>
    <w:rsid w:val="00172AC5"/>
    <w:rsid w:val="00172CF7"/>
    <w:rsid w:val="00172FB5"/>
    <w:rsid w:val="00173478"/>
    <w:rsid w:val="00173527"/>
    <w:rsid w:val="00173C17"/>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86B20"/>
    <w:rsid w:val="001907E6"/>
    <w:rsid w:val="001913F5"/>
    <w:rsid w:val="001926A0"/>
    <w:rsid w:val="001930E4"/>
    <w:rsid w:val="00195438"/>
    <w:rsid w:val="0019662B"/>
    <w:rsid w:val="001A2E42"/>
    <w:rsid w:val="001A2E96"/>
    <w:rsid w:val="001A3348"/>
    <w:rsid w:val="001A3431"/>
    <w:rsid w:val="001A3E3D"/>
    <w:rsid w:val="001A408D"/>
    <w:rsid w:val="001A5D9B"/>
    <w:rsid w:val="001A6271"/>
    <w:rsid w:val="001A68A9"/>
    <w:rsid w:val="001A7416"/>
    <w:rsid w:val="001B028B"/>
    <w:rsid w:val="001B07A1"/>
    <w:rsid w:val="001B1B42"/>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1DA3"/>
    <w:rsid w:val="001D2515"/>
    <w:rsid w:val="001D30C0"/>
    <w:rsid w:val="001D471D"/>
    <w:rsid w:val="001D4900"/>
    <w:rsid w:val="001D5417"/>
    <w:rsid w:val="001D666A"/>
    <w:rsid w:val="001D6C59"/>
    <w:rsid w:val="001D7B5E"/>
    <w:rsid w:val="001E06D5"/>
    <w:rsid w:val="001E2201"/>
    <w:rsid w:val="001E2663"/>
    <w:rsid w:val="001E31AA"/>
    <w:rsid w:val="001E3651"/>
    <w:rsid w:val="001E45DF"/>
    <w:rsid w:val="001E4B4A"/>
    <w:rsid w:val="001E616B"/>
    <w:rsid w:val="001E6933"/>
    <w:rsid w:val="001F0ECF"/>
    <w:rsid w:val="001F1E94"/>
    <w:rsid w:val="001F205C"/>
    <w:rsid w:val="001F26F6"/>
    <w:rsid w:val="001F28B2"/>
    <w:rsid w:val="001F3134"/>
    <w:rsid w:val="001F3640"/>
    <w:rsid w:val="001F4EBE"/>
    <w:rsid w:val="001F5C91"/>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795"/>
    <w:rsid w:val="002138DC"/>
    <w:rsid w:val="00213BF8"/>
    <w:rsid w:val="002141CF"/>
    <w:rsid w:val="00214B12"/>
    <w:rsid w:val="00214C34"/>
    <w:rsid w:val="0021505C"/>
    <w:rsid w:val="00215438"/>
    <w:rsid w:val="00217161"/>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0AC6"/>
    <w:rsid w:val="0024267A"/>
    <w:rsid w:val="00242D2E"/>
    <w:rsid w:val="0024323E"/>
    <w:rsid w:val="00244AB8"/>
    <w:rsid w:val="002454E3"/>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36C8"/>
    <w:rsid w:val="00263CD2"/>
    <w:rsid w:val="00264404"/>
    <w:rsid w:val="0026490D"/>
    <w:rsid w:val="0026508D"/>
    <w:rsid w:val="00265491"/>
    <w:rsid w:val="002659F2"/>
    <w:rsid w:val="00265D81"/>
    <w:rsid w:val="002669E2"/>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DF"/>
    <w:rsid w:val="002926EE"/>
    <w:rsid w:val="00293C7F"/>
    <w:rsid w:val="00293CD8"/>
    <w:rsid w:val="00293D2A"/>
    <w:rsid w:val="00293D97"/>
    <w:rsid w:val="002956BA"/>
    <w:rsid w:val="00296A02"/>
    <w:rsid w:val="00297BCD"/>
    <w:rsid w:val="002A060C"/>
    <w:rsid w:val="002A0B13"/>
    <w:rsid w:val="002A0F55"/>
    <w:rsid w:val="002A28C5"/>
    <w:rsid w:val="002A326B"/>
    <w:rsid w:val="002A34F8"/>
    <w:rsid w:val="002A476C"/>
    <w:rsid w:val="002A4C45"/>
    <w:rsid w:val="002A4DC9"/>
    <w:rsid w:val="002A51FF"/>
    <w:rsid w:val="002A549A"/>
    <w:rsid w:val="002A5EB8"/>
    <w:rsid w:val="002A6983"/>
    <w:rsid w:val="002A6EE7"/>
    <w:rsid w:val="002A710C"/>
    <w:rsid w:val="002A7396"/>
    <w:rsid w:val="002A7E32"/>
    <w:rsid w:val="002B41E9"/>
    <w:rsid w:val="002B424F"/>
    <w:rsid w:val="002B6139"/>
    <w:rsid w:val="002C0DC3"/>
    <w:rsid w:val="002C1EB8"/>
    <w:rsid w:val="002C234B"/>
    <w:rsid w:val="002C3088"/>
    <w:rsid w:val="002C4412"/>
    <w:rsid w:val="002C4A42"/>
    <w:rsid w:val="002C4F9C"/>
    <w:rsid w:val="002C6023"/>
    <w:rsid w:val="002C7C05"/>
    <w:rsid w:val="002D011B"/>
    <w:rsid w:val="002D021E"/>
    <w:rsid w:val="002D1798"/>
    <w:rsid w:val="002D17DA"/>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1F1"/>
    <w:rsid w:val="002E581A"/>
    <w:rsid w:val="002E707B"/>
    <w:rsid w:val="002E71CB"/>
    <w:rsid w:val="002F06F3"/>
    <w:rsid w:val="002F16E2"/>
    <w:rsid w:val="002F1CF1"/>
    <w:rsid w:val="002F342F"/>
    <w:rsid w:val="002F3DE6"/>
    <w:rsid w:val="002F43BC"/>
    <w:rsid w:val="002F4EE7"/>
    <w:rsid w:val="002F5764"/>
    <w:rsid w:val="002F60A9"/>
    <w:rsid w:val="002F6A09"/>
    <w:rsid w:val="002F7CDF"/>
    <w:rsid w:val="00301BA2"/>
    <w:rsid w:val="0030211A"/>
    <w:rsid w:val="0030267E"/>
    <w:rsid w:val="00302878"/>
    <w:rsid w:val="00302E4E"/>
    <w:rsid w:val="003037B4"/>
    <w:rsid w:val="00304295"/>
    <w:rsid w:val="00306659"/>
    <w:rsid w:val="0030684D"/>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027"/>
    <w:rsid w:val="003253DE"/>
    <w:rsid w:val="00326ACE"/>
    <w:rsid w:val="003270E5"/>
    <w:rsid w:val="003274B2"/>
    <w:rsid w:val="003302E5"/>
    <w:rsid w:val="00330EA8"/>
    <w:rsid w:val="00330F45"/>
    <w:rsid w:val="003310D2"/>
    <w:rsid w:val="003312DB"/>
    <w:rsid w:val="00334495"/>
    <w:rsid w:val="003378E9"/>
    <w:rsid w:val="00337D9F"/>
    <w:rsid w:val="00340001"/>
    <w:rsid w:val="00340410"/>
    <w:rsid w:val="00340D7D"/>
    <w:rsid w:val="00340DB2"/>
    <w:rsid w:val="00342B7F"/>
    <w:rsid w:val="003432E3"/>
    <w:rsid w:val="00343D88"/>
    <w:rsid w:val="00344704"/>
    <w:rsid w:val="00345058"/>
    <w:rsid w:val="00346D15"/>
    <w:rsid w:val="00347E09"/>
    <w:rsid w:val="003508D0"/>
    <w:rsid w:val="00351B49"/>
    <w:rsid w:val="00351E7A"/>
    <w:rsid w:val="003524DB"/>
    <w:rsid w:val="00352B2E"/>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87A"/>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A0B71"/>
    <w:rsid w:val="003A0D09"/>
    <w:rsid w:val="003A13C4"/>
    <w:rsid w:val="003A1F38"/>
    <w:rsid w:val="003A3823"/>
    <w:rsid w:val="003A63DB"/>
    <w:rsid w:val="003A66F7"/>
    <w:rsid w:val="003A6CB9"/>
    <w:rsid w:val="003B0B35"/>
    <w:rsid w:val="003B0DFE"/>
    <w:rsid w:val="003B128C"/>
    <w:rsid w:val="003B1A94"/>
    <w:rsid w:val="003B286B"/>
    <w:rsid w:val="003B3497"/>
    <w:rsid w:val="003B3EE4"/>
    <w:rsid w:val="003B4133"/>
    <w:rsid w:val="003B4643"/>
    <w:rsid w:val="003B49EE"/>
    <w:rsid w:val="003B4D63"/>
    <w:rsid w:val="003B61DD"/>
    <w:rsid w:val="003B6269"/>
    <w:rsid w:val="003B7F02"/>
    <w:rsid w:val="003C05BD"/>
    <w:rsid w:val="003C2CE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524E"/>
    <w:rsid w:val="003F61AF"/>
    <w:rsid w:val="0040055A"/>
    <w:rsid w:val="00400890"/>
    <w:rsid w:val="00400D00"/>
    <w:rsid w:val="00400D4C"/>
    <w:rsid w:val="00400EE1"/>
    <w:rsid w:val="00402503"/>
    <w:rsid w:val="004026EC"/>
    <w:rsid w:val="004034C7"/>
    <w:rsid w:val="004042E6"/>
    <w:rsid w:val="00405121"/>
    <w:rsid w:val="004052BA"/>
    <w:rsid w:val="00405427"/>
    <w:rsid w:val="004055CE"/>
    <w:rsid w:val="00406676"/>
    <w:rsid w:val="00407B49"/>
    <w:rsid w:val="00410E6F"/>
    <w:rsid w:val="0041172A"/>
    <w:rsid w:val="00411E1B"/>
    <w:rsid w:val="00411F2C"/>
    <w:rsid w:val="00412ACD"/>
    <w:rsid w:val="00412C85"/>
    <w:rsid w:val="00415247"/>
    <w:rsid w:val="00415281"/>
    <w:rsid w:val="00415485"/>
    <w:rsid w:val="00416F6D"/>
    <w:rsid w:val="00417975"/>
    <w:rsid w:val="00417BFF"/>
    <w:rsid w:val="0042139C"/>
    <w:rsid w:val="00422A14"/>
    <w:rsid w:val="004242B7"/>
    <w:rsid w:val="00424B72"/>
    <w:rsid w:val="00424E0A"/>
    <w:rsid w:val="004251C0"/>
    <w:rsid w:val="0042560B"/>
    <w:rsid w:val="00425760"/>
    <w:rsid w:val="004262F9"/>
    <w:rsid w:val="004266F4"/>
    <w:rsid w:val="00426D7E"/>
    <w:rsid w:val="004271E2"/>
    <w:rsid w:val="00427C81"/>
    <w:rsid w:val="00432F60"/>
    <w:rsid w:val="00433BB6"/>
    <w:rsid w:val="00436F53"/>
    <w:rsid w:val="00436F5C"/>
    <w:rsid w:val="00437114"/>
    <w:rsid w:val="004377F1"/>
    <w:rsid w:val="00437F40"/>
    <w:rsid w:val="00441390"/>
    <w:rsid w:val="00441491"/>
    <w:rsid w:val="004418D4"/>
    <w:rsid w:val="00442041"/>
    <w:rsid w:val="00442CCA"/>
    <w:rsid w:val="00442CEC"/>
    <w:rsid w:val="00444B3D"/>
    <w:rsid w:val="00445162"/>
    <w:rsid w:val="00445523"/>
    <w:rsid w:val="00445550"/>
    <w:rsid w:val="00445D03"/>
    <w:rsid w:val="0044678A"/>
    <w:rsid w:val="00450369"/>
    <w:rsid w:val="004524D5"/>
    <w:rsid w:val="004533BF"/>
    <w:rsid w:val="00453A72"/>
    <w:rsid w:val="00455892"/>
    <w:rsid w:val="0045614D"/>
    <w:rsid w:val="00456D42"/>
    <w:rsid w:val="0046030F"/>
    <w:rsid w:val="00460377"/>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6A1"/>
    <w:rsid w:val="00476836"/>
    <w:rsid w:val="00476D66"/>
    <w:rsid w:val="0047754C"/>
    <w:rsid w:val="004777C2"/>
    <w:rsid w:val="004804F4"/>
    <w:rsid w:val="00481926"/>
    <w:rsid w:val="00481C6C"/>
    <w:rsid w:val="00481C7E"/>
    <w:rsid w:val="00482D97"/>
    <w:rsid w:val="004831E3"/>
    <w:rsid w:val="00485326"/>
    <w:rsid w:val="004854F7"/>
    <w:rsid w:val="00485A50"/>
    <w:rsid w:val="004865A6"/>
    <w:rsid w:val="00486B98"/>
    <w:rsid w:val="00486F25"/>
    <w:rsid w:val="00491CDF"/>
    <w:rsid w:val="00491DC5"/>
    <w:rsid w:val="00491F07"/>
    <w:rsid w:val="00492845"/>
    <w:rsid w:val="00492979"/>
    <w:rsid w:val="00492B78"/>
    <w:rsid w:val="004931AD"/>
    <w:rsid w:val="0049425E"/>
    <w:rsid w:val="004945AA"/>
    <w:rsid w:val="0049545D"/>
    <w:rsid w:val="0049617C"/>
    <w:rsid w:val="004969B5"/>
    <w:rsid w:val="00496DD8"/>
    <w:rsid w:val="004A0AD4"/>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E7E71"/>
    <w:rsid w:val="004F04F9"/>
    <w:rsid w:val="004F0D5A"/>
    <w:rsid w:val="004F1896"/>
    <w:rsid w:val="004F228C"/>
    <w:rsid w:val="004F2A51"/>
    <w:rsid w:val="004F300E"/>
    <w:rsid w:val="004F37B7"/>
    <w:rsid w:val="004F49B9"/>
    <w:rsid w:val="004F555A"/>
    <w:rsid w:val="004F5918"/>
    <w:rsid w:val="004F5D95"/>
    <w:rsid w:val="004F5E6A"/>
    <w:rsid w:val="004F636C"/>
    <w:rsid w:val="004F7EF0"/>
    <w:rsid w:val="00501BE3"/>
    <w:rsid w:val="00501F30"/>
    <w:rsid w:val="005029D1"/>
    <w:rsid w:val="00502DCE"/>
    <w:rsid w:val="005032ED"/>
    <w:rsid w:val="00503EC2"/>
    <w:rsid w:val="00504394"/>
    <w:rsid w:val="00505A41"/>
    <w:rsid w:val="005066C9"/>
    <w:rsid w:val="005069E6"/>
    <w:rsid w:val="0050723A"/>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6FF2"/>
    <w:rsid w:val="0057754E"/>
    <w:rsid w:val="00577CAA"/>
    <w:rsid w:val="00577CD3"/>
    <w:rsid w:val="0058008C"/>
    <w:rsid w:val="005802B3"/>
    <w:rsid w:val="005807BE"/>
    <w:rsid w:val="00580D2F"/>
    <w:rsid w:val="00580D6B"/>
    <w:rsid w:val="00582CA5"/>
    <w:rsid w:val="00582E56"/>
    <w:rsid w:val="005830BD"/>
    <w:rsid w:val="005832A1"/>
    <w:rsid w:val="00584895"/>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192C"/>
    <w:rsid w:val="005A1BA1"/>
    <w:rsid w:val="005A2501"/>
    <w:rsid w:val="005A3A2B"/>
    <w:rsid w:val="005A5530"/>
    <w:rsid w:val="005A6465"/>
    <w:rsid w:val="005B08DB"/>
    <w:rsid w:val="005B1418"/>
    <w:rsid w:val="005B17E8"/>
    <w:rsid w:val="005B3D23"/>
    <w:rsid w:val="005B400C"/>
    <w:rsid w:val="005B42BC"/>
    <w:rsid w:val="005B5232"/>
    <w:rsid w:val="005B52CE"/>
    <w:rsid w:val="005B539D"/>
    <w:rsid w:val="005B5646"/>
    <w:rsid w:val="005B5B08"/>
    <w:rsid w:val="005B5B29"/>
    <w:rsid w:val="005B5B58"/>
    <w:rsid w:val="005B5BDB"/>
    <w:rsid w:val="005B5EED"/>
    <w:rsid w:val="005B5F97"/>
    <w:rsid w:val="005B696C"/>
    <w:rsid w:val="005B76D2"/>
    <w:rsid w:val="005C06C0"/>
    <w:rsid w:val="005C076F"/>
    <w:rsid w:val="005C0AF5"/>
    <w:rsid w:val="005C142E"/>
    <w:rsid w:val="005C160E"/>
    <w:rsid w:val="005C1EDD"/>
    <w:rsid w:val="005C25F9"/>
    <w:rsid w:val="005C2AF4"/>
    <w:rsid w:val="005C2F28"/>
    <w:rsid w:val="005C3549"/>
    <w:rsid w:val="005C450B"/>
    <w:rsid w:val="005C4BD0"/>
    <w:rsid w:val="005C63EF"/>
    <w:rsid w:val="005C67F6"/>
    <w:rsid w:val="005C76EF"/>
    <w:rsid w:val="005C7C48"/>
    <w:rsid w:val="005C7F5B"/>
    <w:rsid w:val="005D03D4"/>
    <w:rsid w:val="005D057A"/>
    <w:rsid w:val="005D0BD3"/>
    <w:rsid w:val="005D1B39"/>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7F6"/>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2E5"/>
    <w:rsid w:val="00620B01"/>
    <w:rsid w:val="0062100F"/>
    <w:rsid w:val="006210ED"/>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2D6F"/>
    <w:rsid w:val="0065393A"/>
    <w:rsid w:val="00654C02"/>
    <w:rsid w:val="00655224"/>
    <w:rsid w:val="0065542B"/>
    <w:rsid w:val="00655B4C"/>
    <w:rsid w:val="00655C92"/>
    <w:rsid w:val="00655E05"/>
    <w:rsid w:val="00656F7E"/>
    <w:rsid w:val="00657635"/>
    <w:rsid w:val="00657DFD"/>
    <w:rsid w:val="006601B4"/>
    <w:rsid w:val="00660BB5"/>
    <w:rsid w:val="00660CA3"/>
    <w:rsid w:val="00661B11"/>
    <w:rsid w:val="006625DA"/>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DDA"/>
    <w:rsid w:val="00676E7E"/>
    <w:rsid w:val="00676EFC"/>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584E"/>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1327"/>
    <w:rsid w:val="006E1B07"/>
    <w:rsid w:val="006E1D5E"/>
    <w:rsid w:val="006E2BB3"/>
    <w:rsid w:val="006E6B42"/>
    <w:rsid w:val="006E6BFC"/>
    <w:rsid w:val="006E6CDE"/>
    <w:rsid w:val="006E6E77"/>
    <w:rsid w:val="006F0AA0"/>
    <w:rsid w:val="006F0D22"/>
    <w:rsid w:val="006F161F"/>
    <w:rsid w:val="006F297E"/>
    <w:rsid w:val="006F337E"/>
    <w:rsid w:val="006F37CF"/>
    <w:rsid w:val="006F38A7"/>
    <w:rsid w:val="006F3A2A"/>
    <w:rsid w:val="006F3D6A"/>
    <w:rsid w:val="006F59D3"/>
    <w:rsid w:val="006F6E90"/>
    <w:rsid w:val="006F7584"/>
    <w:rsid w:val="00700947"/>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379DD"/>
    <w:rsid w:val="00742D34"/>
    <w:rsid w:val="00743986"/>
    <w:rsid w:val="00744118"/>
    <w:rsid w:val="00745EB0"/>
    <w:rsid w:val="007465E0"/>
    <w:rsid w:val="007467FC"/>
    <w:rsid w:val="00746C54"/>
    <w:rsid w:val="007478D3"/>
    <w:rsid w:val="00747D68"/>
    <w:rsid w:val="007514CE"/>
    <w:rsid w:val="00753555"/>
    <w:rsid w:val="00753FF2"/>
    <w:rsid w:val="00755265"/>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5B2"/>
    <w:rsid w:val="00791DD2"/>
    <w:rsid w:val="00791E2B"/>
    <w:rsid w:val="0079334E"/>
    <w:rsid w:val="00796AD1"/>
    <w:rsid w:val="007A043E"/>
    <w:rsid w:val="007A0775"/>
    <w:rsid w:val="007A25D7"/>
    <w:rsid w:val="007A2F6A"/>
    <w:rsid w:val="007A3969"/>
    <w:rsid w:val="007A469C"/>
    <w:rsid w:val="007A52A7"/>
    <w:rsid w:val="007A6170"/>
    <w:rsid w:val="007A674D"/>
    <w:rsid w:val="007A7C7E"/>
    <w:rsid w:val="007A7DA4"/>
    <w:rsid w:val="007B238F"/>
    <w:rsid w:val="007B29DA"/>
    <w:rsid w:val="007B3388"/>
    <w:rsid w:val="007B3C8A"/>
    <w:rsid w:val="007B41C1"/>
    <w:rsid w:val="007B42FC"/>
    <w:rsid w:val="007B4336"/>
    <w:rsid w:val="007B5104"/>
    <w:rsid w:val="007B54A0"/>
    <w:rsid w:val="007B5BE9"/>
    <w:rsid w:val="007B5DA3"/>
    <w:rsid w:val="007B5E94"/>
    <w:rsid w:val="007B6548"/>
    <w:rsid w:val="007B6702"/>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06FF4"/>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1F57"/>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71E8"/>
    <w:rsid w:val="008778D6"/>
    <w:rsid w:val="008778F6"/>
    <w:rsid w:val="0088115A"/>
    <w:rsid w:val="00881409"/>
    <w:rsid w:val="00883211"/>
    <w:rsid w:val="008839C5"/>
    <w:rsid w:val="00884EAE"/>
    <w:rsid w:val="00885D0A"/>
    <w:rsid w:val="00885E49"/>
    <w:rsid w:val="00886046"/>
    <w:rsid w:val="00887DF5"/>
    <w:rsid w:val="00890429"/>
    <w:rsid w:val="008904F6"/>
    <w:rsid w:val="008907AC"/>
    <w:rsid w:val="00890E01"/>
    <w:rsid w:val="008911BA"/>
    <w:rsid w:val="0089121C"/>
    <w:rsid w:val="00893541"/>
    <w:rsid w:val="008936BC"/>
    <w:rsid w:val="008958E8"/>
    <w:rsid w:val="00895E5D"/>
    <w:rsid w:val="008A0913"/>
    <w:rsid w:val="008A1E2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1FA8"/>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77"/>
    <w:rsid w:val="008C55BC"/>
    <w:rsid w:val="008C7F54"/>
    <w:rsid w:val="008D015F"/>
    <w:rsid w:val="008D067B"/>
    <w:rsid w:val="008D09C7"/>
    <w:rsid w:val="008D1449"/>
    <w:rsid w:val="008D39B8"/>
    <w:rsid w:val="008D41CA"/>
    <w:rsid w:val="008D49D8"/>
    <w:rsid w:val="008D4FC5"/>
    <w:rsid w:val="008D6410"/>
    <w:rsid w:val="008D6E4E"/>
    <w:rsid w:val="008D7F1A"/>
    <w:rsid w:val="008E166A"/>
    <w:rsid w:val="008E184E"/>
    <w:rsid w:val="008E36D1"/>
    <w:rsid w:val="008E3B86"/>
    <w:rsid w:val="008E42BE"/>
    <w:rsid w:val="008E4A22"/>
    <w:rsid w:val="008E4CFF"/>
    <w:rsid w:val="008E4E4E"/>
    <w:rsid w:val="008E6BF4"/>
    <w:rsid w:val="008E6C8F"/>
    <w:rsid w:val="008E6DC1"/>
    <w:rsid w:val="008E7B72"/>
    <w:rsid w:val="008E7BD9"/>
    <w:rsid w:val="008E7C85"/>
    <w:rsid w:val="008E7CB6"/>
    <w:rsid w:val="008F0944"/>
    <w:rsid w:val="008F1CB3"/>
    <w:rsid w:val="008F1CB8"/>
    <w:rsid w:val="008F3BA2"/>
    <w:rsid w:val="008F487C"/>
    <w:rsid w:val="008F512A"/>
    <w:rsid w:val="008F53D3"/>
    <w:rsid w:val="008F62EE"/>
    <w:rsid w:val="008F74D3"/>
    <w:rsid w:val="00900230"/>
    <w:rsid w:val="00900CEF"/>
    <w:rsid w:val="009015C3"/>
    <w:rsid w:val="009026DC"/>
    <w:rsid w:val="009042E4"/>
    <w:rsid w:val="0090640F"/>
    <w:rsid w:val="009101F6"/>
    <w:rsid w:val="009103ED"/>
    <w:rsid w:val="009121E6"/>
    <w:rsid w:val="00912C95"/>
    <w:rsid w:val="0091310A"/>
    <w:rsid w:val="00913E19"/>
    <w:rsid w:val="00920C98"/>
    <w:rsid w:val="00920D77"/>
    <w:rsid w:val="009212E6"/>
    <w:rsid w:val="00921951"/>
    <w:rsid w:val="00921B9B"/>
    <w:rsid w:val="00922312"/>
    <w:rsid w:val="00922DC3"/>
    <w:rsid w:val="0092353A"/>
    <w:rsid w:val="00923BF8"/>
    <w:rsid w:val="00924245"/>
    <w:rsid w:val="009245B1"/>
    <w:rsid w:val="009253D9"/>
    <w:rsid w:val="00925869"/>
    <w:rsid w:val="00925BD8"/>
    <w:rsid w:val="00925DB6"/>
    <w:rsid w:val="00927540"/>
    <w:rsid w:val="00927624"/>
    <w:rsid w:val="00927C52"/>
    <w:rsid w:val="009330E8"/>
    <w:rsid w:val="00933196"/>
    <w:rsid w:val="00933742"/>
    <w:rsid w:val="00933FA4"/>
    <w:rsid w:val="00933FC7"/>
    <w:rsid w:val="009340E7"/>
    <w:rsid w:val="00934FE9"/>
    <w:rsid w:val="00936512"/>
    <w:rsid w:val="00936BA5"/>
    <w:rsid w:val="009371C4"/>
    <w:rsid w:val="0093778E"/>
    <w:rsid w:val="00940D80"/>
    <w:rsid w:val="00941891"/>
    <w:rsid w:val="009447ED"/>
    <w:rsid w:val="00945BBE"/>
    <w:rsid w:val="00946639"/>
    <w:rsid w:val="0094675C"/>
    <w:rsid w:val="00947B47"/>
    <w:rsid w:val="00947F42"/>
    <w:rsid w:val="009502F7"/>
    <w:rsid w:val="00950DC2"/>
    <w:rsid w:val="00950F4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2AE"/>
    <w:rsid w:val="009673DA"/>
    <w:rsid w:val="00967583"/>
    <w:rsid w:val="00967639"/>
    <w:rsid w:val="00967DEE"/>
    <w:rsid w:val="00970866"/>
    <w:rsid w:val="00970E6B"/>
    <w:rsid w:val="009712A4"/>
    <w:rsid w:val="009716AC"/>
    <w:rsid w:val="0097309C"/>
    <w:rsid w:val="00974320"/>
    <w:rsid w:val="0097479C"/>
    <w:rsid w:val="00974A82"/>
    <w:rsid w:val="0097580B"/>
    <w:rsid w:val="00976197"/>
    <w:rsid w:val="009774A0"/>
    <w:rsid w:val="0098029C"/>
    <w:rsid w:val="00980862"/>
    <w:rsid w:val="00981690"/>
    <w:rsid w:val="0098260D"/>
    <w:rsid w:val="00983DD5"/>
    <w:rsid w:val="00984877"/>
    <w:rsid w:val="00984988"/>
    <w:rsid w:val="009850ED"/>
    <w:rsid w:val="00986296"/>
    <w:rsid w:val="00987B34"/>
    <w:rsid w:val="00990BCC"/>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B55"/>
    <w:rsid w:val="009A76BB"/>
    <w:rsid w:val="009B1DE3"/>
    <w:rsid w:val="009B6BCE"/>
    <w:rsid w:val="009B74AF"/>
    <w:rsid w:val="009C1B4C"/>
    <w:rsid w:val="009C1D1A"/>
    <w:rsid w:val="009C1E0B"/>
    <w:rsid w:val="009C2635"/>
    <w:rsid w:val="009C2CAD"/>
    <w:rsid w:val="009C2F4B"/>
    <w:rsid w:val="009C3099"/>
    <w:rsid w:val="009C31E1"/>
    <w:rsid w:val="009C5297"/>
    <w:rsid w:val="009C5B2B"/>
    <w:rsid w:val="009C5EF8"/>
    <w:rsid w:val="009C6041"/>
    <w:rsid w:val="009C61FB"/>
    <w:rsid w:val="009C66DB"/>
    <w:rsid w:val="009C6B98"/>
    <w:rsid w:val="009C7283"/>
    <w:rsid w:val="009C73EA"/>
    <w:rsid w:val="009D19A1"/>
    <w:rsid w:val="009D1BE1"/>
    <w:rsid w:val="009D22E9"/>
    <w:rsid w:val="009D3538"/>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D75B0"/>
    <w:rsid w:val="009E08A5"/>
    <w:rsid w:val="009E0E64"/>
    <w:rsid w:val="009E0F8A"/>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372"/>
    <w:rsid w:val="00A00CA7"/>
    <w:rsid w:val="00A0127C"/>
    <w:rsid w:val="00A03995"/>
    <w:rsid w:val="00A03AC5"/>
    <w:rsid w:val="00A03C22"/>
    <w:rsid w:val="00A0408B"/>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64"/>
    <w:rsid w:val="00A209DD"/>
    <w:rsid w:val="00A2230E"/>
    <w:rsid w:val="00A2232D"/>
    <w:rsid w:val="00A235A9"/>
    <w:rsid w:val="00A23C23"/>
    <w:rsid w:val="00A23CBB"/>
    <w:rsid w:val="00A260EB"/>
    <w:rsid w:val="00A27AC9"/>
    <w:rsid w:val="00A301C9"/>
    <w:rsid w:val="00A30601"/>
    <w:rsid w:val="00A309BD"/>
    <w:rsid w:val="00A30E6F"/>
    <w:rsid w:val="00A30F0C"/>
    <w:rsid w:val="00A31B54"/>
    <w:rsid w:val="00A32741"/>
    <w:rsid w:val="00A329CE"/>
    <w:rsid w:val="00A33CF0"/>
    <w:rsid w:val="00A3412A"/>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26BF"/>
    <w:rsid w:val="00A53218"/>
    <w:rsid w:val="00A543B2"/>
    <w:rsid w:val="00A5514D"/>
    <w:rsid w:val="00A5531E"/>
    <w:rsid w:val="00A56090"/>
    <w:rsid w:val="00A56FA3"/>
    <w:rsid w:val="00A57645"/>
    <w:rsid w:val="00A578F1"/>
    <w:rsid w:val="00A6041B"/>
    <w:rsid w:val="00A60AE3"/>
    <w:rsid w:val="00A61A17"/>
    <w:rsid w:val="00A61B1C"/>
    <w:rsid w:val="00A62515"/>
    <w:rsid w:val="00A62CF5"/>
    <w:rsid w:val="00A62D51"/>
    <w:rsid w:val="00A63989"/>
    <w:rsid w:val="00A63EB3"/>
    <w:rsid w:val="00A649D3"/>
    <w:rsid w:val="00A65A97"/>
    <w:rsid w:val="00A661AC"/>
    <w:rsid w:val="00A6658D"/>
    <w:rsid w:val="00A67D2E"/>
    <w:rsid w:val="00A707E3"/>
    <w:rsid w:val="00A70A3F"/>
    <w:rsid w:val="00A70F44"/>
    <w:rsid w:val="00A724D2"/>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2613"/>
    <w:rsid w:val="00A93F97"/>
    <w:rsid w:val="00A93FCF"/>
    <w:rsid w:val="00A94B14"/>
    <w:rsid w:val="00A94BF5"/>
    <w:rsid w:val="00A952B8"/>
    <w:rsid w:val="00A9561A"/>
    <w:rsid w:val="00A95698"/>
    <w:rsid w:val="00A95D5D"/>
    <w:rsid w:val="00A962B3"/>
    <w:rsid w:val="00A96870"/>
    <w:rsid w:val="00A96EF0"/>
    <w:rsid w:val="00A97447"/>
    <w:rsid w:val="00AA09C9"/>
    <w:rsid w:val="00AA0ABF"/>
    <w:rsid w:val="00AA0BA8"/>
    <w:rsid w:val="00AA129B"/>
    <w:rsid w:val="00AA3C21"/>
    <w:rsid w:val="00AA433C"/>
    <w:rsid w:val="00AA5EA1"/>
    <w:rsid w:val="00AA5FD2"/>
    <w:rsid w:val="00AA61C5"/>
    <w:rsid w:val="00AA78F9"/>
    <w:rsid w:val="00AB0BD1"/>
    <w:rsid w:val="00AB27A4"/>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C7C3D"/>
    <w:rsid w:val="00AD023B"/>
    <w:rsid w:val="00AD171B"/>
    <w:rsid w:val="00AD18BB"/>
    <w:rsid w:val="00AD28F2"/>
    <w:rsid w:val="00AD3224"/>
    <w:rsid w:val="00AD32DA"/>
    <w:rsid w:val="00AD4C2A"/>
    <w:rsid w:val="00AD68CE"/>
    <w:rsid w:val="00AE0306"/>
    <w:rsid w:val="00AE23EC"/>
    <w:rsid w:val="00AE4293"/>
    <w:rsid w:val="00AE47D7"/>
    <w:rsid w:val="00AE49B5"/>
    <w:rsid w:val="00AE534B"/>
    <w:rsid w:val="00AE53F7"/>
    <w:rsid w:val="00AE56D4"/>
    <w:rsid w:val="00AE5838"/>
    <w:rsid w:val="00AE5D4D"/>
    <w:rsid w:val="00AE5E52"/>
    <w:rsid w:val="00AE6454"/>
    <w:rsid w:val="00AF060E"/>
    <w:rsid w:val="00AF0EBF"/>
    <w:rsid w:val="00AF1ABD"/>
    <w:rsid w:val="00AF1AE3"/>
    <w:rsid w:val="00AF20E5"/>
    <w:rsid w:val="00AF28A4"/>
    <w:rsid w:val="00AF5813"/>
    <w:rsid w:val="00AF604F"/>
    <w:rsid w:val="00AF67F9"/>
    <w:rsid w:val="00AF6A48"/>
    <w:rsid w:val="00AF6C28"/>
    <w:rsid w:val="00AF6D85"/>
    <w:rsid w:val="00AF73B1"/>
    <w:rsid w:val="00AF7DF7"/>
    <w:rsid w:val="00B01651"/>
    <w:rsid w:val="00B0207A"/>
    <w:rsid w:val="00B02BF6"/>
    <w:rsid w:val="00B031AC"/>
    <w:rsid w:val="00B04367"/>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2799A"/>
    <w:rsid w:val="00B30444"/>
    <w:rsid w:val="00B307A3"/>
    <w:rsid w:val="00B31C11"/>
    <w:rsid w:val="00B31F78"/>
    <w:rsid w:val="00B32BDE"/>
    <w:rsid w:val="00B332AA"/>
    <w:rsid w:val="00B34845"/>
    <w:rsid w:val="00B35F3C"/>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9E3"/>
    <w:rsid w:val="00B47A4F"/>
    <w:rsid w:val="00B47FCE"/>
    <w:rsid w:val="00B527C0"/>
    <w:rsid w:val="00B53A63"/>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6FC9"/>
    <w:rsid w:val="00B77103"/>
    <w:rsid w:val="00B805A1"/>
    <w:rsid w:val="00B80F58"/>
    <w:rsid w:val="00B812B1"/>
    <w:rsid w:val="00B82CE4"/>
    <w:rsid w:val="00B836DE"/>
    <w:rsid w:val="00B83AD0"/>
    <w:rsid w:val="00B84DE5"/>
    <w:rsid w:val="00B8611D"/>
    <w:rsid w:val="00B861CF"/>
    <w:rsid w:val="00B868E4"/>
    <w:rsid w:val="00B86B77"/>
    <w:rsid w:val="00B87E74"/>
    <w:rsid w:val="00B91F75"/>
    <w:rsid w:val="00B920EA"/>
    <w:rsid w:val="00B92501"/>
    <w:rsid w:val="00B926D1"/>
    <w:rsid w:val="00B94EC8"/>
    <w:rsid w:val="00B971AF"/>
    <w:rsid w:val="00B97DB0"/>
    <w:rsid w:val="00BA35AE"/>
    <w:rsid w:val="00BA4F11"/>
    <w:rsid w:val="00BA55B6"/>
    <w:rsid w:val="00BA6806"/>
    <w:rsid w:val="00BA69F8"/>
    <w:rsid w:val="00BB0D5A"/>
    <w:rsid w:val="00BB1769"/>
    <w:rsid w:val="00BB2719"/>
    <w:rsid w:val="00BB28C7"/>
    <w:rsid w:val="00BB296C"/>
    <w:rsid w:val="00BB2CB4"/>
    <w:rsid w:val="00BB4047"/>
    <w:rsid w:val="00BB4440"/>
    <w:rsid w:val="00BB4C3A"/>
    <w:rsid w:val="00BB4F88"/>
    <w:rsid w:val="00BB5BAD"/>
    <w:rsid w:val="00BB61DB"/>
    <w:rsid w:val="00BB632B"/>
    <w:rsid w:val="00BB750E"/>
    <w:rsid w:val="00BC020C"/>
    <w:rsid w:val="00BC031A"/>
    <w:rsid w:val="00BC194E"/>
    <w:rsid w:val="00BC1DCF"/>
    <w:rsid w:val="00BC31A2"/>
    <w:rsid w:val="00BC31EB"/>
    <w:rsid w:val="00BC33B4"/>
    <w:rsid w:val="00BC3BEF"/>
    <w:rsid w:val="00BC4F76"/>
    <w:rsid w:val="00BC6225"/>
    <w:rsid w:val="00BC67C9"/>
    <w:rsid w:val="00BC68BC"/>
    <w:rsid w:val="00BC6F67"/>
    <w:rsid w:val="00BC7EF2"/>
    <w:rsid w:val="00BC7F7B"/>
    <w:rsid w:val="00BD02B0"/>
    <w:rsid w:val="00BD10EF"/>
    <w:rsid w:val="00BD1E15"/>
    <w:rsid w:val="00BD2E6C"/>
    <w:rsid w:val="00BD39AD"/>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6F0"/>
    <w:rsid w:val="00C147C9"/>
    <w:rsid w:val="00C148B6"/>
    <w:rsid w:val="00C14F6F"/>
    <w:rsid w:val="00C15334"/>
    <w:rsid w:val="00C16144"/>
    <w:rsid w:val="00C17785"/>
    <w:rsid w:val="00C206B2"/>
    <w:rsid w:val="00C2191E"/>
    <w:rsid w:val="00C22BE5"/>
    <w:rsid w:val="00C22E2E"/>
    <w:rsid w:val="00C25589"/>
    <w:rsid w:val="00C265C9"/>
    <w:rsid w:val="00C300CB"/>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2E9"/>
    <w:rsid w:val="00C50C2A"/>
    <w:rsid w:val="00C5248A"/>
    <w:rsid w:val="00C52F23"/>
    <w:rsid w:val="00C53020"/>
    <w:rsid w:val="00C53035"/>
    <w:rsid w:val="00C54286"/>
    <w:rsid w:val="00C54B91"/>
    <w:rsid w:val="00C55001"/>
    <w:rsid w:val="00C553BF"/>
    <w:rsid w:val="00C56246"/>
    <w:rsid w:val="00C56ABD"/>
    <w:rsid w:val="00C60826"/>
    <w:rsid w:val="00C62AF2"/>
    <w:rsid w:val="00C635D1"/>
    <w:rsid w:val="00C63EC6"/>
    <w:rsid w:val="00C643A7"/>
    <w:rsid w:val="00C644FA"/>
    <w:rsid w:val="00C652B4"/>
    <w:rsid w:val="00C66C27"/>
    <w:rsid w:val="00C66E0F"/>
    <w:rsid w:val="00C67DF0"/>
    <w:rsid w:val="00C701DC"/>
    <w:rsid w:val="00C715D2"/>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96C"/>
    <w:rsid w:val="00C83F81"/>
    <w:rsid w:val="00C83F98"/>
    <w:rsid w:val="00C84044"/>
    <w:rsid w:val="00C854A7"/>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2B9F"/>
    <w:rsid w:val="00CA330B"/>
    <w:rsid w:val="00CA4683"/>
    <w:rsid w:val="00CA4A76"/>
    <w:rsid w:val="00CA4BBE"/>
    <w:rsid w:val="00CA508B"/>
    <w:rsid w:val="00CA5D64"/>
    <w:rsid w:val="00CA5DB7"/>
    <w:rsid w:val="00CA6948"/>
    <w:rsid w:val="00CA7ABF"/>
    <w:rsid w:val="00CB00EE"/>
    <w:rsid w:val="00CB0FA6"/>
    <w:rsid w:val="00CB1AE7"/>
    <w:rsid w:val="00CB1E14"/>
    <w:rsid w:val="00CB2189"/>
    <w:rsid w:val="00CB439B"/>
    <w:rsid w:val="00CB5516"/>
    <w:rsid w:val="00CB5D03"/>
    <w:rsid w:val="00CB6837"/>
    <w:rsid w:val="00CB7413"/>
    <w:rsid w:val="00CC1043"/>
    <w:rsid w:val="00CC3049"/>
    <w:rsid w:val="00CC34BB"/>
    <w:rsid w:val="00CC36BD"/>
    <w:rsid w:val="00CC3B4E"/>
    <w:rsid w:val="00CC509A"/>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69A"/>
    <w:rsid w:val="00CE390F"/>
    <w:rsid w:val="00CE66A3"/>
    <w:rsid w:val="00CE6955"/>
    <w:rsid w:val="00CF187C"/>
    <w:rsid w:val="00CF19F4"/>
    <w:rsid w:val="00CF2636"/>
    <w:rsid w:val="00CF2682"/>
    <w:rsid w:val="00CF298C"/>
    <w:rsid w:val="00CF3BA9"/>
    <w:rsid w:val="00CF3C22"/>
    <w:rsid w:val="00CF3CEE"/>
    <w:rsid w:val="00CF3DCD"/>
    <w:rsid w:val="00CF4084"/>
    <w:rsid w:val="00CF4402"/>
    <w:rsid w:val="00CF5F90"/>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41A6"/>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A5E12"/>
    <w:rsid w:val="00DB000A"/>
    <w:rsid w:val="00DB29B4"/>
    <w:rsid w:val="00DB4157"/>
    <w:rsid w:val="00DB47BE"/>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67ED"/>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3C0E"/>
    <w:rsid w:val="00E23CFF"/>
    <w:rsid w:val="00E25B05"/>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37EA6"/>
    <w:rsid w:val="00E41A59"/>
    <w:rsid w:val="00E41FCA"/>
    <w:rsid w:val="00E4220C"/>
    <w:rsid w:val="00E42A69"/>
    <w:rsid w:val="00E43BC7"/>
    <w:rsid w:val="00E4426C"/>
    <w:rsid w:val="00E44905"/>
    <w:rsid w:val="00E449E7"/>
    <w:rsid w:val="00E455D1"/>
    <w:rsid w:val="00E45D10"/>
    <w:rsid w:val="00E46338"/>
    <w:rsid w:val="00E46EA3"/>
    <w:rsid w:val="00E47FED"/>
    <w:rsid w:val="00E5017B"/>
    <w:rsid w:val="00E51B5C"/>
    <w:rsid w:val="00E52C54"/>
    <w:rsid w:val="00E53F13"/>
    <w:rsid w:val="00E543C8"/>
    <w:rsid w:val="00E54DCC"/>
    <w:rsid w:val="00E56F25"/>
    <w:rsid w:val="00E5774B"/>
    <w:rsid w:val="00E5793B"/>
    <w:rsid w:val="00E609B3"/>
    <w:rsid w:val="00E628A0"/>
    <w:rsid w:val="00E638D1"/>
    <w:rsid w:val="00E64FC3"/>
    <w:rsid w:val="00E6552E"/>
    <w:rsid w:val="00E65605"/>
    <w:rsid w:val="00E67012"/>
    <w:rsid w:val="00E677C4"/>
    <w:rsid w:val="00E7059B"/>
    <w:rsid w:val="00E70BC7"/>
    <w:rsid w:val="00E72CD2"/>
    <w:rsid w:val="00E74F1C"/>
    <w:rsid w:val="00E75B6C"/>
    <w:rsid w:val="00E75C48"/>
    <w:rsid w:val="00E76078"/>
    <w:rsid w:val="00E77554"/>
    <w:rsid w:val="00E779A8"/>
    <w:rsid w:val="00E77FA1"/>
    <w:rsid w:val="00E801EC"/>
    <w:rsid w:val="00E814D9"/>
    <w:rsid w:val="00E819D4"/>
    <w:rsid w:val="00E83333"/>
    <w:rsid w:val="00E838C9"/>
    <w:rsid w:val="00E85320"/>
    <w:rsid w:val="00E85433"/>
    <w:rsid w:val="00E854F9"/>
    <w:rsid w:val="00E8799C"/>
    <w:rsid w:val="00E90034"/>
    <w:rsid w:val="00E90A02"/>
    <w:rsid w:val="00E90CF7"/>
    <w:rsid w:val="00E927C1"/>
    <w:rsid w:val="00E931A1"/>
    <w:rsid w:val="00E93483"/>
    <w:rsid w:val="00E95E3C"/>
    <w:rsid w:val="00E96158"/>
    <w:rsid w:val="00E96F19"/>
    <w:rsid w:val="00E974AF"/>
    <w:rsid w:val="00E974E5"/>
    <w:rsid w:val="00E97696"/>
    <w:rsid w:val="00E97D48"/>
    <w:rsid w:val="00EA0AC5"/>
    <w:rsid w:val="00EA0E16"/>
    <w:rsid w:val="00EA17C8"/>
    <w:rsid w:val="00EA2A65"/>
    <w:rsid w:val="00EA2C5D"/>
    <w:rsid w:val="00EA378F"/>
    <w:rsid w:val="00EA46F9"/>
    <w:rsid w:val="00EA506A"/>
    <w:rsid w:val="00EA5CC4"/>
    <w:rsid w:val="00EA7C49"/>
    <w:rsid w:val="00EB0F27"/>
    <w:rsid w:val="00EB1511"/>
    <w:rsid w:val="00EB17E9"/>
    <w:rsid w:val="00EB285B"/>
    <w:rsid w:val="00EB31DD"/>
    <w:rsid w:val="00EB32C8"/>
    <w:rsid w:val="00EB3AFB"/>
    <w:rsid w:val="00EB3D00"/>
    <w:rsid w:val="00EB40B7"/>
    <w:rsid w:val="00EB4DA8"/>
    <w:rsid w:val="00EB57A1"/>
    <w:rsid w:val="00EB591A"/>
    <w:rsid w:val="00EB5B2F"/>
    <w:rsid w:val="00EB5F9A"/>
    <w:rsid w:val="00EB7219"/>
    <w:rsid w:val="00EB7703"/>
    <w:rsid w:val="00EC0516"/>
    <w:rsid w:val="00EC380B"/>
    <w:rsid w:val="00EC51A9"/>
    <w:rsid w:val="00EC58CB"/>
    <w:rsid w:val="00EC5AEA"/>
    <w:rsid w:val="00EC5B59"/>
    <w:rsid w:val="00EC68F9"/>
    <w:rsid w:val="00EC6AEA"/>
    <w:rsid w:val="00EC6CEA"/>
    <w:rsid w:val="00EC6FF5"/>
    <w:rsid w:val="00EC748E"/>
    <w:rsid w:val="00ED0575"/>
    <w:rsid w:val="00ED0783"/>
    <w:rsid w:val="00ED0A51"/>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21A"/>
    <w:rsid w:val="00F10D1E"/>
    <w:rsid w:val="00F111AF"/>
    <w:rsid w:val="00F1177A"/>
    <w:rsid w:val="00F121A3"/>
    <w:rsid w:val="00F141C5"/>
    <w:rsid w:val="00F145A2"/>
    <w:rsid w:val="00F16695"/>
    <w:rsid w:val="00F1701E"/>
    <w:rsid w:val="00F178E6"/>
    <w:rsid w:val="00F200FF"/>
    <w:rsid w:val="00F201F6"/>
    <w:rsid w:val="00F21E3A"/>
    <w:rsid w:val="00F220EA"/>
    <w:rsid w:val="00F24296"/>
    <w:rsid w:val="00F25083"/>
    <w:rsid w:val="00F317BC"/>
    <w:rsid w:val="00F31AB7"/>
    <w:rsid w:val="00F32FAD"/>
    <w:rsid w:val="00F331DE"/>
    <w:rsid w:val="00F33741"/>
    <w:rsid w:val="00F345A1"/>
    <w:rsid w:val="00F346BA"/>
    <w:rsid w:val="00F34A2D"/>
    <w:rsid w:val="00F34EC4"/>
    <w:rsid w:val="00F35CD8"/>
    <w:rsid w:val="00F3689D"/>
    <w:rsid w:val="00F36B62"/>
    <w:rsid w:val="00F36BA6"/>
    <w:rsid w:val="00F375F3"/>
    <w:rsid w:val="00F417B9"/>
    <w:rsid w:val="00F41E7C"/>
    <w:rsid w:val="00F41FD2"/>
    <w:rsid w:val="00F431A5"/>
    <w:rsid w:val="00F4325C"/>
    <w:rsid w:val="00F43931"/>
    <w:rsid w:val="00F4395D"/>
    <w:rsid w:val="00F44139"/>
    <w:rsid w:val="00F444E0"/>
    <w:rsid w:val="00F44AE7"/>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5CE6"/>
    <w:rsid w:val="00F867B4"/>
    <w:rsid w:val="00F86D3F"/>
    <w:rsid w:val="00F87778"/>
    <w:rsid w:val="00F87883"/>
    <w:rsid w:val="00F907A8"/>
    <w:rsid w:val="00F9080E"/>
    <w:rsid w:val="00F9121C"/>
    <w:rsid w:val="00F92436"/>
    <w:rsid w:val="00F92BF9"/>
    <w:rsid w:val="00F92D14"/>
    <w:rsid w:val="00F93AF9"/>
    <w:rsid w:val="00F93E8E"/>
    <w:rsid w:val="00F942F6"/>
    <w:rsid w:val="00F94EF5"/>
    <w:rsid w:val="00F9555C"/>
    <w:rsid w:val="00F9571D"/>
    <w:rsid w:val="00F96595"/>
    <w:rsid w:val="00F96606"/>
    <w:rsid w:val="00FA01DE"/>
    <w:rsid w:val="00FA0E7F"/>
    <w:rsid w:val="00FA1738"/>
    <w:rsid w:val="00FA292A"/>
    <w:rsid w:val="00FA2AAF"/>
    <w:rsid w:val="00FA2CED"/>
    <w:rsid w:val="00FA2DB9"/>
    <w:rsid w:val="00FA343C"/>
    <w:rsid w:val="00FA34F1"/>
    <w:rsid w:val="00FA39B3"/>
    <w:rsid w:val="00FA4B02"/>
    <w:rsid w:val="00FA52EF"/>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3E33"/>
    <w:rsid w:val="00FE46D6"/>
    <w:rsid w:val="00FE527D"/>
    <w:rsid w:val="00FE5658"/>
    <w:rsid w:val="00FE7ABF"/>
    <w:rsid w:val="00FF0BB3"/>
    <w:rsid w:val="00FF1837"/>
    <w:rsid w:val="00FF2F34"/>
    <w:rsid w:val="00FF2F6B"/>
    <w:rsid w:val="00FF42E1"/>
    <w:rsid w:val="00FF4906"/>
    <w:rsid w:val="00FF49BF"/>
    <w:rsid w:val="00FF532B"/>
    <w:rsid w:val="00FF61E4"/>
    <w:rsid w:val="00FF6522"/>
    <w:rsid w:val="00FF6749"/>
    <w:rsid w:val="00FF6DF0"/>
    <w:rsid w:val="032B7245"/>
    <w:rsid w:val="13D55ABE"/>
    <w:rsid w:val="162D0A70"/>
    <w:rsid w:val="16E76FFF"/>
    <w:rsid w:val="21EE26A4"/>
    <w:rsid w:val="2AD349A2"/>
    <w:rsid w:val="2EE53003"/>
    <w:rsid w:val="3D63326F"/>
    <w:rsid w:val="4630530F"/>
    <w:rsid w:val="48C674D9"/>
    <w:rsid w:val="4B5E30FA"/>
    <w:rsid w:val="51C15CD0"/>
    <w:rsid w:val="59EA73CB"/>
    <w:rsid w:val="6AD86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3"/>
    <w:next w:val="1"/>
    <w:link w:val="29"/>
    <w:unhideWhenUsed/>
    <w:qFormat/>
    <w:uiPriority w:val="9"/>
    <w:pPr>
      <w:spacing w:after="0"/>
      <w:outlineLvl w:val="2"/>
    </w:pPr>
    <w:rPr>
      <w:rFonts w:cs="Arial"/>
      <w:sz w:val="28"/>
      <w:szCs w:val="28"/>
    </w:rPr>
  </w:style>
  <w:style w:type="paragraph" w:styleId="5">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qFormat/>
    <w:uiPriority w:val="9"/>
    <w:rPr>
      <w:rFonts w:ascii="Arial" w:hAnsi="Arial" w:cs="Arial"/>
      <w:kern w:val="0"/>
      <w:sz w:val="28"/>
      <w:szCs w:val="28"/>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表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 w:type="character" w:customStyle="1" w:styleId="52">
    <w:name w:val="列表段落 字符1"/>
    <w:qFormat/>
    <w:locked/>
    <w:uiPriority w:val="34"/>
    <w:rPr>
      <w:rFonts w:ascii="Times New Roman" w:hAnsi="Times New Roman" w:eastAsia="宋体" w:cs="Times New Roman"/>
      <w:kern w:val="0"/>
      <w:sz w:val="20"/>
      <w:szCs w:val="20"/>
      <w:lang w:val="en-GB" w:eastAsia="ja-JP"/>
    </w:rPr>
  </w:style>
  <w:style w:type="paragraph" w:customStyle="1" w:styleId="5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64E1EA-C22C-4C8D-927D-16570ACCFC6F}">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2478</Words>
  <Characters>14126</Characters>
  <Lines>117</Lines>
  <Paragraphs>33</Paragraphs>
  <TotalTime>0</TotalTime>
  <ScaleCrop>false</ScaleCrop>
  <LinksUpToDate>false</LinksUpToDate>
  <CharactersWithSpaces>16571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2021-09-30T00:32:00Z</dcterms:created>
  <dc:creator>zhengyi</dc:creator>
  <cp:lastModifiedBy>c'm'cc</cp:lastModifiedBy>
  <dcterms:modified xsi:type="dcterms:W3CDTF">2021-09-30T06:12:23Z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